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64879D" w14:textId="77777777" w:rsidR="00B01BD6" w:rsidRDefault="00C44D14">
      <w:pPr>
        <w:pStyle w:val="Nzev"/>
      </w:pPr>
      <w:r>
        <w:t>Specifikace na parkovací automat pro město poděbrady - 2024</w:t>
      </w:r>
    </w:p>
    <w:p w14:paraId="08B33841" w14:textId="77777777" w:rsidR="00B01BD6" w:rsidRDefault="00C44D14">
      <w:pPr>
        <w:pStyle w:val="nadpis1"/>
      </w:pPr>
      <w:r>
        <w:t>Obecný popis</w:t>
      </w:r>
    </w:p>
    <w:p w14:paraId="5E81BB27" w14:textId="37794133" w:rsidR="00B01BD6" w:rsidRDefault="00B92D82" w:rsidP="008645C9">
      <w:pPr>
        <w:jc w:val="both"/>
      </w:pPr>
      <w:r w:rsidRPr="00B92D82">
        <w:t>PA musí být volně stojící zařízení určené k placení za dočasné</w:t>
      </w:r>
      <w:r>
        <w:t xml:space="preserve"> a dlouhodobé </w:t>
      </w:r>
      <w:r w:rsidRPr="00B92D82">
        <w:t xml:space="preserve">parkování a musí být navrženo podle normy STN EN 12414 nebo ekvivalentní normy v jiných zemích EU. PA musí být vyroben z pevného materiálu odolného proti povětrnostním vlivům s </w:t>
      </w:r>
      <w:proofErr w:type="spellStart"/>
      <w:r w:rsidRPr="00B92D82">
        <w:t>antigraffiti</w:t>
      </w:r>
      <w:proofErr w:type="spellEnd"/>
      <w:r w:rsidRPr="00B92D82">
        <w:t xml:space="preserve"> povrchovou úpravou</w:t>
      </w:r>
      <w:r w:rsidR="003A6CC3">
        <w:t xml:space="preserve"> v antracitové barvě NCS 4010 R70B,</w:t>
      </w:r>
      <w:r w:rsidRPr="00B92D82">
        <w:t xml:space="preserve"> odolnou proti korozi.</w:t>
      </w:r>
      <w:r w:rsidR="003A6CC3">
        <w:t xml:space="preserve"> </w:t>
      </w:r>
      <w:r w:rsidRPr="00B92D82">
        <w:t>Natřený kryt PA musí vykazovat třídu odolnosti proti soli 4 podle normy EN 60068-2-52.</w:t>
      </w:r>
    </w:p>
    <w:p w14:paraId="31F5AC96" w14:textId="75E43990" w:rsidR="00F47D34" w:rsidRDefault="00F44459" w:rsidP="008645C9">
      <w:pPr>
        <w:jc w:val="both"/>
      </w:pPr>
      <w:r w:rsidRPr="00F44459">
        <w:t>PA musí být pevně spojen se svým základem umístěným v chodníku, místní komunikaci nebo jiném prostoru, který PA obsluhuje. Základová konstrukce musí být součástí dodávky. Šířka a hloubka základu PA nesmí být větší než 0,60 m, s chybou maximálně (+/-) 50 mm, aby nebyl výrazně omezen volný prostor na chodníku. Celková maximální výška PA musí být 2,1 m. PA musí být vybaven barevným dotykovým displejem s úhlopříčkou nejméně 9,5 palce, aby byl čitelný na přímém slunečním světle</w:t>
      </w:r>
      <w:r w:rsidR="003A6CC3">
        <w:t>, a aby bylo zajištěno pohodlné psaní textu</w:t>
      </w:r>
      <w:r w:rsidRPr="00F44459">
        <w:t>.</w:t>
      </w:r>
    </w:p>
    <w:p w14:paraId="38EAB761" w14:textId="2C1AF33E" w:rsidR="00877759" w:rsidRDefault="000B5B36" w:rsidP="008645C9">
      <w:pPr>
        <w:jc w:val="both"/>
      </w:pPr>
      <w:r w:rsidRPr="000B5B36">
        <w:t>PA musí být vybaven barevným identifikátorem pro rozlišení zóny placeného stání v barevném provedení podle požadavku zadavatele</w:t>
      </w:r>
      <w:r w:rsidR="003A6CC3">
        <w:t xml:space="preserve">, ve výšce nejméně </w:t>
      </w:r>
      <w:proofErr w:type="gramStart"/>
      <w:r w:rsidR="003A6CC3">
        <w:t>15cm</w:t>
      </w:r>
      <w:proofErr w:type="gramEnd"/>
      <w:r w:rsidR="007B55B3">
        <w:t xml:space="preserve">. </w:t>
      </w:r>
      <w:r w:rsidR="00AB7D4A">
        <w:t>Barvy a jejich počet bude upřesněn dodatkem k</w:t>
      </w:r>
      <w:r w:rsidR="00872994">
        <w:t>e</w:t>
      </w:r>
      <w:r w:rsidR="00877759">
        <w:t> konečné smlouvě</w:t>
      </w:r>
      <w:r w:rsidR="003A6CC3">
        <w:t>, povolené barvy jsou: červená, modrá, zelená, žlutá, oranžová</w:t>
      </w:r>
      <w:r w:rsidR="00877759">
        <w:t>.</w:t>
      </w:r>
      <w:r w:rsidR="007A7CB5">
        <w:t xml:space="preserve"> </w:t>
      </w:r>
      <w:r w:rsidR="007A7CB5" w:rsidRPr="007A7CB5">
        <w:t>Zadavatel například připouští plastové nebo kovové řešení.</w:t>
      </w:r>
      <w:r w:rsidR="003A6CC3">
        <w:t xml:space="preserve"> Identifikátor musí být </w:t>
      </w:r>
      <w:r w:rsidR="001C7DB5">
        <w:t>umístěn na horní straně parkovacího automatu pod solárním panelem automatu.</w:t>
      </w:r>
    </w:p>
    <w:p w14:paraId="1F89E99E" w14:textId="77777777" w:rsidR="00424828" w:rsidRDefault="007C13F4" w:rsidP="008645C9">
      <w:pPr>
        <w:jc w:val="both"/>
      </w:pPr>
      <w:r>
        <w:t xml:space="preserve">PA musí mít modulární HW tak aby mohl být doplněn </w:t>
      </w:r>
      <w:r w:rsidR="009971D1">
        <w:t>o HW</w:t>
      </w:r>
      <w:r w:rsidR="008645C9">
        <w:t>,</w:t>
      </w:r>
      <w:r w:rsidR="009971D1">
        <w:t xml:space="preserve"> který není specifikován v této </w:t>
      </w:r>
      <w:r w:rsidR="001273F8">
        <w:t xml:space="preserve">poptávce. Jako je </w:t>
      </w:r>
      <w:r w:rsidR="00872994">
        <w:t xml:space="preserve">např. </w:t>
      </w:r>
      <w:r w:rsidR="001273F8">
        <w:t xml:space="preserve">čtečka QR </w:t>
      </w:r>
      <w:r w:rsidR="000A6706">
        <w:t>kódů</w:t>
      </w:r>
      <w:r w:rsidR="001273F8">
        <w:t>,</w:t>
      </w:r>
      <w:r w:rsidR="000A6706">
        <w:t xml:space="preserve"> </w:t>
      </w:r>
      <w:r w:rsidR="00582BE5">
        <w:t xml:space="preserve">bankovní čtečku </w:t>
      </w:r>
      <w:r w:rsidR="003144D3">
        <w:t xml:space="preserve">s technologií </w:t>
      </w:r>
      <w:r w:rsidR="00C56005">
        <w:t>PINPAD</w:t>
      </w:r>
      <w:r w:rsidR="003144D3">
        <w:t>, bankovní čtečku s</w:t>
      </w:r>
      <w:r w:rsidR="0029737A">
        <w:t> čtením bankovního čipu.</w:t>
      </w:r>
    </w:p>
    <w:p w14:paraId="08D42306" w14:textId="77777777" w:rsidR="006836BD" w:rsidRDefault="006836BD" w:rsidP="008645C9">
      <w:pPr>
        <w:jc w:val="both"/>
      </w:pPr>
      <w:r w:rsidRPr="006836BD">
        <w:t>PA musí mít možnost vzdálené aktualizace</w:t>
      </w:r>
      <w:r w:rsidR="00FA3164">
        <w:t xml:space="preserve">, </w:t>
      </w:r>
      <w:r w:rsidR="00620F73">
        <w:t>aktivace či deaktivace</w:t>
      </w:r>
      <w:r w:rsidRPr="006836BD">
        <w:t>.</w:t>
      </w:r>
    </w:p>
    <w:p w14:paraId="4D5061BD" w14:textId="77777777" w:rsidR="0067583D" w:rsidRDefault="00251CEA" w:rsidP="008645C9">
      <w:pPr>
        <w:jc w:val="both"/>
      </w:pPr>
      <w:r w:rsidRPr="00251CEA">
        <w:t>Maximální zpoždění nebo zrychlení hodin v PA nesmí překročit jednu minutu za měsíc a hodiny musí pracovat ve 24hodinovém formátu.</w:t>
      </w:r>
      <w:r w:rsidR="00B7639D">
        <w:t xml:space="preserve"> </w:t>
      </w:r>
      <w:r w:rsidR="00DE6BA8">
        <w:t xml:space="preserve">PA musí mít možnost </w:t>
      </w:r>
      <w:r w:rsidR="00CA0584">
        <w:t xml:space="preserve">přebírat čas z kontrolního SW </w:t>
      </w:r>
      <w:r w:rsidR="00230F5E">
        <w:t xml:space="preserve">zadavatele nebo připojeny na </w:t>
      </w:r>
      <w:r w:rsidR="003F5D08">
        <w:t>certifikované servery</w:t>
      </w:r>
      <w:r w:rsidR="00077672" w:rsidRPr="00077672">
        <w:t xml:space="preserve"> pro synchronizaci přesného času NTP</w:t>
      </w:r>
      <w:r w:rsidR="00077672">
        <w:t>.</w:t>
      </w:r>
    </w:p>
    <w:p w14:paraId="1FC27138" w14:textId="77777777" w:rsidR="00620F73" w:rsidRDefault="00390AA6" w:rsidP="008645C9">
      <w:pPr>
        <w:jc w:val="both"/>
      </w:pPr>
      <w:r w:rsidRPr="00390AA6">
        <w:t>PA musí být demontovateln</w:t>
      </w:r>
      <w:r>
        <w:t>ý</w:t>
      </w:r>
      <w:r w:rsidRPr="00390AA6">
        <w:t xml:space="preserve"> a přemístiteln</w:t>
      </w:r>
      <w:r>
        <w:t>ý</w:t>
      </w:r>
      <w:r w:rsidRPr="00390AA6">
        <w:t xml:space="preserve"> na jiné místo podle potřeb zadavatele. V případě změny umístění PA provedou jeho montáž a instalaci pracovníci zhotovitele na náklady zadavatele. Bezprostředně po opětovné instalaci musí být PA uveden do provozu pracovníky zhotovitele za asistence pověřených pracovníků zadavatele. Přemístění PA nemá vliv na záruční dobu PA.</w:t>
      </w:r>
      <w:r w:rsidR="003F5D08">
        <w:t xml:space="preserve"> </w:t>
      </w:r>
      <w:r w:rsidR="00730B79">
        <w:t xml:space="preserve">Zhotovitel také provede </w:t>
      </w:r>
      <w:r w:rsidR="00247E94">
        <w:t>potřebné změny jak v SW PA</w:t>
      </w:r>
      <w:r w:rsidR="008645C9">
        <w:t>,</w:t>
      </w:r>
      <w:r w:rsidR="00247E94">
        <w:t xml:space="preserve"> tak v</w:t>
      </w:r>
      <w:r w:rsidR="00DF147A">
        <w:t xml:space="preserve"> obslužném a dohledovém </w:t>
      </w:r>
      <w:proofErr w:type="gramStart"/>
      <w:r w:rsidR="00DF147A">
        <w:t>SW</w:t>
      </w:r>
      <w:proofErr w:type="gramEnd"/>
      <w:r w:rsidR="00DF147A">
        <w:t xml:space="preserve"> </w:t>
      </w:r>
      <w:r w:rsidR="00F24686">
        <w:t>a to dle zadání zadavatele</w:t>
      </w:r>
      <w:r w:rsidR="002C5956">
        <w:t>,</w:t>
      </w:r>
      <w:r w:rsidR="00F24686">
        <w:t xml:space="preserve"> </w:t>
      </w:r>
      <w:r w:rsidR="002C5956">
        <w:t>jako je</w:t>
      </w:r>
      <w:r w:rsidR="008645C9">
        <w:t xml:space="preserve"> např.</w:t>
      </w:r>
      <w:r w:rsidR="002C5956">
        <w:t>: změna zóny, změna</w:t>
      </w:r>
      <w:r w:rsidR="00421AA3">
        <w:t xml:space="preserve"> </w:t>
      </w:r>
      <w:r w:rsidR="002C5956">
        <w:t xml:space="preserve">ID PA a jeho popisu, změna tarifu </w:t>
      </w:r>
      <w:r w:rsidR="00A60BE1">
        <w:t xml:space="preserve">a další kroky upřesněné na změnovém listu </w:t>
      </w:r>
      <w:r w:rsidR="00DD03A4">
        <w:t>umístnění PA.</w:t>
      </w:r>
    </w:p>
    <w:p w14:paraId="017E37DB" w14:textId="77777777" w:rsidR="000B5B36" w:rsidRDefault="000B5B36"/>
    <w:p w14:paraId="62317D1C" w14:textId="77777777" w:rsidR="00B01BD6" w:rsidRDefault="00337F64">
      <w:pPr>
        <w:pStyle w:val="nadpis1"/>
      </w:pPr>
      <w:r>
        <w:t>konektivita</w:t>
      </w:r>
    </w:p>
    <w:p w14:paraId="1F998FFD" w14:textId="77777777" w:rsidR="00B01BD6" w:rsidRDefault="001F3EBE" w:rsidP="008645C9">
      <w:pPr>
        <w:jc w:val="both"/>
      </w:pPr>
      <w:r w:rsidRPr="001F3EBE">
        <w:t xml:space="preserve">PA musí poskytovat optimalizovaný výkon </w:t>
      </w:r>
      <w:r w:rsidR="009F4F42">
        <w:t xml:space="preserve">pro </w:t>
      </w:r>
      <w:r w:rsidRPr="001F3EBE">
        <w:t xml:space="preserve">sítě </w:t>
      </w:r>
      <w:proofErr w:type="gramStart"/>
      <w:r w:rsidRPr="001F3EBE">
        <w:t>GSM  nastavením</w:t>
      </w:r>
      <w:proofErr w:type="gramEnd"/>
      <w:r w:rsidRPr="001F3EBE">
        <w:t xml:space="preserve"> antény 360</w:t>
      </w:r>
      <w:r w:rsidRPr="00421AA3">
        <w:rPr>
          <w:vertAlign w:val="superscript"/>
        </w:rPr>
        <w:t>o</w:t>
      </w:r>
      <w:r w:rsidRPr="001F3EBE">
        <w:t xml:space="preserve"> 4G pro lepší příjem a přenos dat. V zájmu hospodárného provozu musí veškerá datová komunikace fungovat s jednou SIM kartou na zařízení (PA), včetně bankovních operací (bezhotovostní platby prostřednictvím PA) a datového připojení PA pro vzdálené monitorování</w:t>
      </w:r>
      <w:r w:rsidR="00E21F6E">
        <w:t>.</w:t>
      </w:r>
    </w:p>
    <w:p w14:paraId="6135A2AB" w14:textId="77777777" w:rsidR="009C177B" w:rsidRDefault="00E21F6E" w:rsidP="008645C9">
      <w:pPr>
        <w:jc w:val="both"/>
      </w:pPr>
      <w:r>
        <w:t>HW PA musí</w:t>
      </w:r>
      <w:r w:rsidR="00B4433A">
        <w:t xml:space="preserve"> mít možnost odpojit GSM modem a </w:t>
      </w:r>
      <w:r w:rsidR="00754F3D">
        <w:t xml:space="preserve">realizovat připojení pomocí </w:t>
      </w:r>
      <w:r w:rsidR="00A46AA1">
        <w:t>kabelového připojení LAN</w:t>
      </w:r>
      <w:r w:rsidR="001A79F5">
        <w:t>.</w:t>
      </w:r>
    </w:p>
    <w:p w14:paraId="61AE5814" w14:textId="77777777" w:rsidR="009C177B" w:rsidRDefault="004E5B42" w:rsidP="008645C9">
      <w:pPr>
        <w:jc w:val="both"/>
      </w:pPr>
      <w:r>
        <w:t xml:space="preserve">PA musí mít modulární možnost </w:t>
      </w:r>
      <w:r w:rsidR="002E04E0">
        <w:t xml:space="preserve">výměny GSM modemu za GSM modem s třemi rozdílnými </w:t>
      </w:r>
      <w:proofErr w:type="gramStart"/>
      <w:r w:rsidR="002E04E0">
        <w:t>SIM</w:t>
      </w:r>
      <w:proofErr w:type="gramEnd"/>
      <w:r w:rsidR="002E04E0">
        <w:t xml:space="preserve"> a to v takovém režimu</w:t>
      </w:r>
      <w:r w:rsidR="008645C9">
        <w:t>,</w:t>
      </w:r>
      <w:r w:rsidR="002E04E0">
        <w:t xml:space="preserve"> kdy po </w:t>
      </w:r>
      <w:r w:rsidR="00605F80">
        <w:t>ztrátě</w:t>
      </w:r>
      <w:r w:rsidR="002E04E0">
        <w:t xml:space="preserve"> spojení </w:t>
      </w:r>
      <w:r w:rsidR="00605F80">
        <w:t xml:space="preserve">na jedné </w:t>
      </w:r>
      <w:r w:rsidR="00BD745C">
        <w:t>SIM</w:t>
      </w:r>
      <w:r w:rsidR="008645C9">
        <w:t>,</w:t>
      </w:r>
      <w:r w:rsidR="00605F80">
        <w:t xml:space="preserve"> naváže automaticky spojení na další SIM</w:t>
      </w:r>
      <w:r w:rsidR="009950A7">
        <w:t xml:space="preserve"> registrované u jiného operátora. </w:t>
      </w:r>
      <w:r w:rsidR="007C7D97">
        <w:t xml:space="preserve">Alternativně může být tato funkce nahrazena </w:t>
      </w:r>
      <w:proofErr w:type="spellStart"/>
      <w:r w:rsidR="0064443A">
        <w:t>r</w:t>
      </w:r>
      <w:r w:rsidR="002F1628">
        <w:t>SIM</w:t>
      </w:r>
      <w:proofErr w:type="spellEnd"/>
      <w:r w:rsidR="002F1628">
        <w:t xml:space="preserve"> registrovanou u více operátorů</w:t>
      </w:r>
      <w:r w:rsidR="0064443A">
        <w:t>.</w:t>
      </w:r>
    </w:p>
    <w:p w14:paraId="7875EEEC" w14:textId="77777777" w:rsidR="00206AAD" w:rsidRDefault="00206AAD" w:rsidP="008645C9">
      <w:pPr>
        <w:jc w:val="both"/>
      </w:pPr>
      <w:r>
        <w:t>PA musí být obousměrně připojen ke cloudu prostřednictvím mobilní sítě. Pro ekonomický provoz musí veškerá datová komunikace fungovat s jednou SIM kartou na zařízení (PA), včetně bankovních operací (bezhotovostní platby prostřednictvím PA) a datového spojení pro vzdálené monitorování PA.</w:t>
      </w:r>
    </w:p>
    <w:p w14:paraId="5F5BD702" w14:textId="77777777" w:rsidR="00BC0451" w:rsidRDefault="00BC0451" w:rsidP="008645C9">
      <w:pPr>
        <w:jc w:val="both"/>
      </w:pPr>
      <w:r>
        <w:rPr>
          <w:color w:val="595959"/>
        </w:rPr>
        <w:lastRenderedPageBreak/>
        <w:t xml:space="preserve">Součástí dodávky budou samotné SIM karty a příslušné datové balíčky postačující k pokrytí komunikace. Je přípustné pořízení SIM karet zadavatelem po stanovení datových limitů dodavatelem. Konečné řešení dodávek SIM karet bude zakotveno ve smlouvě. </w:t>
      </w:r>
    </w:p>
    <w:p w14:paraId="61544A8E" w14:textId="6BD1058A" w:rsidR="00206AAD" w:rsidRDefault="00206AAD" w:rsidP="008645C9">
      <w:pPr>
        <w:jc w:val="both"/>
      </w:pPr>
      <w:r>
        <w:t>PA musí obsahovat možnost vzdáleného nahrání návodu k použití, ceník</w:t>
      </w:r>
      <w:r w:rsidR="00BF26C4">
        <w:t>ů</w:t>
      </w:r>
      <w:r>
        <w:t>, údajů o obsluze a informačních zpráv, které se zobrazí na barevné dotykové obrazovce. Software PA musí být schopen dálkově monitorovat závady a upozorňovat na nedostatek papíru pro tisk parkovacích lístků a bezhotovostních účtenek</w:t>
      </w:r>
      <w:r w:rsidR="00BF26C4">
        <w:t>.</w:t>
      </w:r>
    </w:p>
    <w:p w14:paraId="79BD19D3" w14:textId="77777777" w:rsidR="001E1DF8" w:rsidRDefault="001E1DF8" w:rsidP="00F518A1">
      <w:pPr>
        <w:jc w:val="both"/>
      </w:pPr>
      <w:r w:rsidRPr="001E1DF8">
        <w:t>PA musí obsahovat možnost vzdáleného nastavení a nahrání pokynů k použití, tarifů (min. ceník, regulační doba, max. doba parkování, kód zóny), údajů o obsluze a informačních zpráv, které se zobrazí na barevném dotykovém displeji.</w:t>
      </w:r>
    </w:p>
    <w:p w14:paraId="6694B799" w14:textId="77777777" w:rsidR="009C177B" w:rsidRDefault="001A79F5" w:rsidP="009C177B">
      <w:pPr>
        <w:pStyle w:val="nadpis1"/>
      </w:pPr>
      <w:r>
        <w:t xml:space="preserve">  </w:t>
      </w:r>
      <w:r w:rsidR="009C177B">
        <w:t>Napájení</w:t>
      </w:r>
    </w:p>
    <w:p w14:paraId="725463D6" w14:textId="77777777" w:rsidR="007D4475" w:rsidRDefault="00D345D6" w:rsidP="00915E84">
      <w:pPr>
        <w:jc w:val="both"/>
      </w:pPr>
      <w:r w:rsidRPr="00D345D6">
        <w:t xml:space="preserve">PA musí mít </w:t>
      </w:r>
      <w:r w:rsidR="00CD2905">
        <w:t>3 možné varianty napájení:</w:t>
      </w:r>
    </w:p>
    <w:p w14:paraId="2A87013A" w14:textId="77777777" w:rsidR="009C177B" w:rsidRDefault="005735EB" w:rsidP="00915E84">
      <w:pPr>
        <w:pStyle w:val="Odstavecseseznamem"/>
        <w:numPr>
          <w:ilvl w:val="0"/>
          <w:numId w:val="1"/>
        </w:numPr>
        <w:jc w:val="both"/>
      </w:pPr>
      <w:r>
        <w:t xml:space="preserve">PA musí mít </w:t>
      </w:r>
      <w:r w:rsidR="00D345D6" w:rsidRPr="00D345D6">
        <w:t xml:space="preserve">samostatné nezávislé napájení bez nutnosti připojení k veřejné elektrické síti, a to ze solárních článků, tzv. fotovoltaických panelů, které zajistí nepřetržitý provoz 24 hodin denně. Solární článek musí být součástí těla PA, musí mít minimální výkon 30 W, musí být otočný ve čtyřech směrech a musí vyžadovat připojení ke dvěma bateriím s minimální kapacitou 40 </w:t>
      </w:r>
      <w:proofErr w:type="spellStart"/>
      <w:r w:rsidR="00D345D6" w:rsidRPr="00D345D6">
        <w:t>Ah</w:t>
      </w:r>
      <w:proofErr w:type="spellEnd"/>
      <w:r w:rsidR="00D345D6" w:rsidRPr="00D345D6">
        <w:t xml:space="preserve"> pro hlavní baterii a minimální kapacitou 20 </w:t>
      </w:r>
      <w:proofErr w:type="spellStart"/>
      <w:r w:rsidR="00D345D6" w:rsidRPr="00D345D6">
        <w:t>Ah</w:t>
      </w:r>
      <w:proofErr w:type="spellEnd"/>
      <w:r w:rsidR="00D345D6" w:rsidRPr="00D345D6">
        <w:t xml:space="preserve"> pro záložní baterii. Zadavatel nebude akceptovat žádné jiné řešení napájení zařízení. Provozuschopnost PA musí být zajištěna v teplotním rozmezí od -20 °C do +50 °C při napájení ze solárního fotovoltaického článku. Zadavatel nepovažuje baterie za spotřební materiál a předpokládá dodávku PA pro autonomní nezávislé napájení bez nutnosti připojení k veřejné elektrické síti, napájené solárním článkem tzv. fotovoltaickým panelem pro zajištění 24hodinového nepřetržitého provozu.</w:t>
      </w:r>
      <w:r w:rsidR="00665D1A">
        <w:t xml:space="preserve"> Baterie budou nedílnou součástí dodávky PA dle počtu kusů </w:t>
      </w:r>
      <w:proofErr w:type="gramStart"/>
      <w:r w:rsidR="00665D1A">
        <w:t>PA</w:t>
      </w:r>
      <w:proofErr w:type="gramEnd"/>
      <w:r w:rsidR="00665D1A">
        <w:t xml:space="preserve"> a to tak že jejich počet bude stejný jako počet PA.</w:t>
      </w:r>
    </w:p>
    <w:p w14:paraId="1846EAE9" w14:textId="24298F58" w:rsidR="00AB4F73" w:rsidRDefault="00227E0D" w:rsidP="00915E84">
      <w:pPr>
        <w:pStyle w:val="Odstavecseseznamem"/>
        <w:numPr>
          <w:ilvl w:val="0"/>
          <w:numId w:val="1"/>
        </w:numPr>
        <w:jc w:val="both"/>
      </w:pPr>
      <w:r>
        <w:t>PA musí být</w:t>
      </w:r>
      <w:r w:rsidR="006F3F6C">
        <w:t xml:space="preserve"> modulárně</w:t>
      </w:r>
      <w:r>
        <w:t xml:space="preserve"> připraven na připojení </w:t>
      </w:r>
      <w:r w:rsidR="00131C89">
        <w:t>k veřejné síti VO s</w:t>
      </w:r>
      <w:r w:rsidR="000F0749">
        <w:t xml:space="preserve"> minimálním </w:t>
      </w:r>
      <w:proofErr w:type="gramStart"/>
      <w:r w:rsidR="000F0749">
        <w:t>8 hodinovým</w:t>
      </w:r>
      <w:proofErr w:type="gramEnd"/>
      <w:r w:rsidR="000F0749">
        <w:t xml:space="preserve"> provozem tak aby </w:t>
      </w:r>
      <w:r w:rsidR="00276DF0">
        <w:t xml:space="preserve">během provozu VO došlo k plnému nabití </w:t>
      </w:r>
      <w:r w:rsidR="006F3F6C">
        <w:t>akumulátorů.</w:t>
      </w:r>
    </w:p>
    <w:p w14:paraId="73AEA224" w14:textId="77777777" w:rsidR="006333BB" w:rsidRDefault="00AB4F73" w:rsidP="00F518A1">
      <w:pPr>
        <w:pStyle w:val="Odstavecseseznamem"/>
        <w:numPr>
          <w:ilvl w:val="0"/>
          <w:numId w:val="1"/>
        </w:numPr>
        <w:jc w:val="both"/>
      </w:pPr>
      <w:r>
        <w:t xml:space="preserve">PA musí být modulárně připraven na připojení k veřejné síti </w:t>
      </w:r>
      <w:r w:rsidR="00B74FA6">
        <w:t>s jednou bateri</w:t>
      </w:r>
      <w:r w:rsidR="00486873">
        <w:t xml:space="preserve">í s minimální kapacitou 20 </w:t>
      </w:r>
      <w:proofErr w:type="spellStart"/>
      <w:r w:rsidR="00486873">
        <w:t>Ah</w:t>
      </w:r>
      <w:proofErr w:type="spellEnd"/>
      <w:r w:rsidR="00486873">
        <w:t xml:space="preserve"> pro vykrytí </w:t>
      </w:r>
      <w:r w:rsidR="004D5C37">
        <w:t>výpadků elektrické energie. T</w:t>
      </w:r>
      <w:r w:rsidR="006C54FC">
        <w:t xml:space="preserve">ato varianta bude použita tam kde je po PA požadována funkce </w:t>
      </w:r>
      <w:r w:rsidR="00BC6ADD">
        <w:t xml:space="preserve">reklamního poutače </w:t>
      </w:r>
      <w:r w:rsidR="00323C0A">
        <w:t>(tato funkce bude upřesněna níže v</w:t>
      </w:r>
      <w:r w:rsidR="006333BB">
        <w:t> této specifikaci)</w:t>
      </w:r>
      <w:r w:rsidR="00BC6ADD">
        <w:t xml:space="preserve">. </w:t>
      </w:r>
      <w:r w:rsidR="006F3F6C">
        <w:t xml:space="preserve"> </w:t>
      </w:r>
      <w:r w:rsidR="00276DF0">
        <w:t xml:space="preserve"> </w:t>
      </w:r>
    </w:p>
    <w:p w14:paraId="0D8F3372" w14:textId="77777777" w:rsidR="006333BB" w:rsidRDefault="00181695" w:rsidP="006333BB">
      <w:pPr>
        <w:pStyle w:val="nadpis1"/>
      </w:pPr>
      <w:r>
        <w:t>Platby</w:t>
      </w:r>
    </w:p>
    <w:p w14:paraId="49B55356" w14:textId="77777777" w:rsidR="006333BB" w:rsidRDefault="004030BC" w:rsidP="00984EB8">
      <w:pPr>
        <w:jc w:val="both"/>
      </w:pPr>
      <w:r>
        <w:t>PA musí mít dvě nezávislé možnosti plat</w:t>
      </w:r>
      <w:r w:rsidR="000A7AB0">
        <w:t>by parkovacího oprávnění</w:t>
      </w:r>
      <w:r w:rsidR="00A442C0">
        <w:t xml:space="preserve"> a dalších </w:t>
      </w:r>
      <w:r w:rsidR="00D4608B">
        <w:t>plateb</w:t>
      </w:r>
      <w:r w:rsidR="000A7AB0">
        <w:t>:</w:t>
      </w:r>
    </w:p>
    <w:p w14:paraId="4C4AE98D" w14:textId="696CDC10" w:rsidR="00AB61F1" w:rsidRDefault="00E30D8E" w:rsidP="00984EB8">
      <w:pPr>
        <w:pStyle w:val="Odstavecseseznamem"/>
        <w:numPr>
          <w:ilvl w:val="0"/>
          <w:numId w:val="2"/>
        </w:numPr>
        <w:jc w:val="both"/>
      </w:pPr>
      <w:r>
        <w:t>Mincovník s možností přijmu</w:t>
      </w:r>
      <w:r w:rsidR="00DE7B83">
        <w:t xml:space="preserve"> 14 rozdílných</w:t>
      </w:r>
      <w:r>
        <w:t xml:space="preserve"> </w:t>
      </w:r>
      <w:r w:rsidR="0087157E">
        <w:t xml:space="preserve">mincí </w:t>
      </w:r>
      <w:r w:rsidR="00BF53E6">
        <w:t>nebo token</w:t>
      </w:r>
      <w:r w:rsidR="00DE7B83">
        <w:t xml:space="preserve">ů </w:t>
      </w:r>
    </w:p>
    <w:p w14:paraId="70EEA1DB" w14:textId="77777777" w:rsidR="000A7AB0" w:rsidRDefault="00AB61F1" w:rsidP="00984EB8">
      <w:pPr>
        <w:pStyle w:val="Odstavecseseznamem"/>
        <w:numPr>
          <w:ilvl w:val="0"/>
          <w:numId w:val="2"/>
        </w:numPr>
        <w:jc w:val="both"/>
      </w:pPr>
      <w:r>
        <w:t xml:space="preserve">PA bude </w:t>
      </w:r>
      <w:r w:rsidR="00DE7B83">
        <w:t>a</w:t>
      </w:r>
      <w:r w:rsidR="00226C69">
        <w:t>kceptovat mince v nominálních</w:t>
      </w:r>
      <w:r w:rsidR="0087157E">
        <w:t> hodnotách</w:t>
      </w:r>
      <w:r w:rsidR="00226C69">
        <w:t>:</w:t>
      </w:r>
    </w:p>
    <w:p w14:paraId="0DC45462" w14:textId="77777777" w:rsidR="0087157E" w:rsidRDefault="0087157E" w:rsidP="00984EB8">
      <w:pPr>
        <w:pStyle w:val="Odstavecseseznamem"/>
        <w:numPr>
          <w:ilvl w:val="1"/>
          <w:numId w:val="2"/>
        </w:numPr>
        <w:jc w:val="both"/>
      </w:pPr>
      <w:r>
        <w:t>1Kč</w:t>
      </w:r>
    </w:p>
    <w:p w14:paraId="3FE5F6F6" w14:textId="77777777" w:rsidR="0087157E" w:rsidRDefault="0087157E" w:rsidP="00984EB8">
      <w:pPr>
        <w:pStyle w:val="Odstavecseseznamem"/>
        <w:numPr>
          <w:ilvl w:val="1"/>
          <w:numId w:val="2"/>
        </w:numPr>
        <w:jc w:val="both"/>
      </w:pPr>
      <w:r>
        <w:t>2Kč</w:t>
      </w:r>
    </w:p>
    <w:p w14:paraId="74402084" w14:textId="77777777" w:rsidR="00E0388C" w:rsidRDefault="00E0388C" w:rsidP="00984EB8">
      <w:pPr>
        <w:pStyle w:val="Odstavecseseznamem"/>
        <w:numPr>
          <w:ilvl w:val="1"/>
          <w:numId w:val="2"/>
        </w:numPr>
        <w:jc w:val="both"/>
      </w:pPr>
      <w:r>
        <w:t>5Kč</w:t>
      </w:r>
    </w:p>
    <w:p w14:paraId="5B2C7065" w14:textId="77777777" w:rsidR="00E0388C" w:rsidRDefault="00E0388C" w:rsidP="00984EB8">
      <w:pPr>
        <w:pStyle w:val="Odstavecseseznamem"/>
        <w:numPr>
          <w:ilvl w:val="1"/>
          <w:numId w:val="2"/>
        </w:numPr>
        <w:jc w:val="both"/>
      </w:pPr>
      <w:r>
        <w:t>10Kč</w:t>
      </w:r>
    </w:p>
    <w:p w14:paraId="52E0CA0D" w14:textId="77777777" w:rsidR="00E0388C" w:rsidRDefault="00E0388C" w:rsidP="00984EB8">
      <w:pPr>
        <w:pStyle w:val="Odstavecseseznamem"/>
        <w:numPr>
          <w:ilvl w:val="1"/>
          <w:numId w:val="2"/>
        </w:numPr>
        <w:jc w:val="both"/>
      </w:pPr>
      <w:r>
        <w:t>20Kč</w:t>
      </w:r>
    </w:p>
    <w:p w14:paraId="14B43C20" w14:textId="77777777" w:rsidR="00E0388C" w:rsidRDefault="00E0388C" w:rsidP="00984EB8">
      <w:pPr>
        <w:pStyle w:val="Odstavecseseznamem"/>
        <w:numPr>
          <w:ilvl w:val="1"/>
          <w:numId w:val="2"/>
        </w:numPr>
        <w:jc w:val="both"/>
      </w:pPr>
      <w:r>
        <w:t>50Kč</w:t>
      </w:r>
    </w:p>
    <w:p w14:paraId="61736493" w14:textId="77777777" w:rsidR="009937C1" w:rsidRDefault="0056539D" w:rsidP="00984EB8">
      <w:pPr>
        <w:pStyle w:val="Odstavecseseznamem"/>
        <w:numPr>
          <w:ilvl w:val="1"/>
          <w:numId w:val="2"/>
        </w:numPr>
        <w:jc w:val="both"/>
      </w:pPr>
      <w:r w:rsidRPr="0056539D">
        <w:t>0,10€</w:t>
      </w:r>
      <w:r>
        <w:t xml:space="preserve"> </w:t>
      </w:r>
      <w:r w:rsidR="00BC5E34">
        <w:t>(způsob zaúčtování bude specifikován níže)</w:t>
      </w:r>
    </w:p>
    <w:p w14:paraId="22E64A26" w14:textId="77777777" w:rsidR="00BC5E34" w:rsidRDefault="00D91F87" w:rsidP="00984EB8">
      <w:pPr>
        <w:pStyle w:val="Odstavecseseznamem"/>
        <w:numPr>
          <w:ilvl w:val="1"/>
          <w:numId w:val="2"/>
        </w:numPr>
        <w:jc w:val="both"/>
      </w:pPr>
      <w:r w:rsidRPr="00D91F87">
        <w:t>0,</w:t>
      </w:r>
      <w:r>
        <w:t>2</w:t>
      </w:r>
      <w:r w:rsidRPr="00D91F87">
        <w:t>0€</w:t>
      </w:r>
      <w:r>
        <w:t xml:space="preserve"> (způsob zaúčtování bude specifikován níže)</w:t>
      </w:r>
    </w:p>
    <w:p w14:paraId="77B7591C" w14:textId="77777777" w:rsidR="00D91F87" w:rsidRDefault="00D91F87" w:rsidP="00984EB8">
      <w:pPr>
        <w:pStyle w:val="Odstavecseseznamem"/>
        <w:numPr>
          <w:ilvl w:val="1"/>
          <w:numId w:val="2"/>
        </w:numPr>
        <w:jc w:val="both"/>
      </w:pPr>
      <w:r w:rsidRPr="00D91F87">
        <w:t>0,</w:t>
      </w:r>
      <w:r>
        <w:t>5</w:t>
      </w:r>
      <w:r w:rsidRPr="00D91F87">
        <w:t>0€</w:t>
      </w:r>
      <w:r>
        <w:t xml:space="preserve"> (způsob zaúčtování bude specifikován níže)</w:t>
      </w:r>
    </w:p>
    <w:p w14:paraId="4FE2880C" w14:textId="77777777" w:rsidR="00D91F87" w:rsidRDefault="00D91F87" w:rsidP="00984EB8">
      <w:pPr>
        <w:pStyle w:val="Odstavecseseznamem"/>
        <w:numPr>
          <w:ilvl w:val="1"/>
          <w:numId w:val="2"/>
        </w:numPr>
        <w:jc w:val="both"/>
      </w:pPr>
      <w:r>
        <w:t>1</w:t>
      </w:r>
      <w:r w:rsidRPr="00D91F87">
        <w:t>€</w:t>
      </w:r>
      <w:r>
        <w:t xml:space="preserve"> (způsob zaúčtování bude specifikován níže)</w:t>
      </w:r>
    </w:p>
    <w:p w14:paraId="408A1E62" w14:textId="77777777" w:rsidR="00D91F87" w:rsidRDefault="00392D84" w:rsidP="00984EB8">
      <w:pPr>
        <w:pStyle w:val="Odstavecseseznamem"/>
        <w:numPr>
          <w:ilvl w:val="1"/>
          <w:numId w:val="2"/>
        </w:numPr>
        <w:jc w:val="both"/>
      </w:pPr>
      <w:r>
        <w:t>2</w:t>
      </w:r>
      <w:r w:rsidR="00D91F87" w:rsidRPr="00D91F87">
        <w:t>€</w:t>
      </w:r>
      <w:r w:rsidR="00D91F87">
        <w:t xml:space="preserve"> (způsob zaúčtování bude specifikován níže)</w:t>
      </w:r>
    </w:p>
    <w:p w14:paraId="0DBC7045" w14:textId="77777777" w:rsidR="00D91F87" w:rsidRDefault="005A5CFD" w:rsidP="00984EB8">
      <w:pPr>
        <w:pStyle w:val="Odstavecseseznamem"/>
        <w:numPr>
          <w:ilvl w:val="0"/>
          <w:numId w:val="2"/>
        </w:numPr>
        <w:jc w:val="both"/>
      </w:pPr>
      <w:r w:rsidRPr="005A5CFD">
        <w:t>Čtečk</w:t>
      </w:r>
      <w:r>
        <w:t>u</w:t>
      </w:r>
      <w:r w:rsidRPr="005A5CFD">
        <w:t xml:space="preserve"> </w:t>
      </w:r>
      <w:proofErr w:type="gramStart"/>
      <w:r w:rsidRPr="005A5CFD">
        <w:t>karet</w:t>
      </w:r>
      <w:proofErr w:type="gramEnd"/>
      <w:r w:rsidRPr="005A5CFD">
        <w:t xml:space="preserve"> </w:t>
      </w:r>
      <w:r w:rsidR="001129D2">
        <w:t xml:space="preserve">která </w:t>
      </w:r>
      <w:r w:rsidRPr="005A5CFD">
        <w:t xml:space="preserve">musí podporovat akceptované bezkontaktní platební karty (standard EMV) podle ISO 14443 a NFC na úrovni certifikace PCI DSS. PA musí být vybavena možností zadat EMV při nákupu parkovacího lístku a možností platit za transakce provedené bezkontaktní kartou, mobilem, hodinkami a dalšími zařízeními využívajícími NFC podporující </w:t>
      </w:r>
      <w:proofErr w:type="spellStart"/>
      <w:r w:rsidRPr="005A5CFD">
        <w:t>ApplePay</w:t>
      </w:r>
      <w:proofErr w:type="spellEnd"/>
      <w:r w:rsidRPr="005A5CFD">
        <w:t xml:space="preserve"> a </w:t>
      </w:r>
      <w:proofErr w:type="spellStart"/>
      <w:r w:rsidRPr="005A5CFD">
        <w:t>GooglePay</w:t>
      </w:r>
      <w:proofErr w:type="spellEnd"/>
      <w:r w:rsidRPr="005A5CFD">
        <w:t xml:space="preserve">. Zadavatel nebude akceptovat řešení, které má čtečku kontaktních karet a/nebo klávesnici pro zadávání PIN </w:t>
      </w:r>
      <w:r w:rsidR="001129D2">
        <w:t>–</w:t>
      </w:r>
      <w:r w:rsidRPr="005A5CFD">
        <w:t xml:space="preserve"> </w:t>
      </w:r>
      <w:proofErr w:type="spellStart"/>
      <w:r w:rsidRPr="005A5CFD">
        <w:t>pinpad</w:t>
      </w:r>
      <w:proofErr w:type="spellEnd"/>
      <w:r w:rsidR="001129D2">
        <w:t xml:space="preserve">, avšak automat musí mít tuto možnost </w:t>
      </w:r>
      <w:r w:rsidR="001C1121">
        <w:t xml:space="preserve">jako </w:t>
      </w:r>
      <w:r w:rsidR="00026E94">
        <w:t>modulární</w:t>
      </w:r>
      <w:r w:rsidR="001C1121">
        <w:t xml:space="preserve"> a p</w:t>
      </w:r>
      <w:r w:rsidR="006E4B4E">
        <w:t xml:space="preserve">o žádosti zadavatele na náklady zadavatele dojde </w:t>
      </w:r>
      <w:r w:rsidR="00AF6AFF">
        <w:t xml:space="preserve">k doplnění či změně </w:t>
      </w:r>
      <w:r w:rsidR="00D82254">
        <w:t>čtečky karet dle specifikace zadavatele.</w:t>
      </w:r>
    </w:p>
    <w:p w14:paraId="112BB24E" w14:textId="77777777" w:rsidR="006B78CD" w:rsidRDefault="00014DD5" w:rsidP="00984EB8">
      <w:pPr>
        <w:pStyle w:val="Odstavecseseznamem"/>
        <w:numPr>
          <w:ilvl w:val="0"/>
          <w:numId w:val="2"/>
        </w:numPr>
        <w:jc w:val="both"/>
      </w:pPr>
      <w:r>
        <w:t xml:space="preserve">PA bude </w:t>
      </w:r>
      <w:r w:rsidR="00DD737F">
        <w:t xml:space="preserve">akceptované </w:t>
      </w:r>
      <w:r w:rsidR="00DD737F" w:rsidRPr="0056539D">
        <w:t>€</w:t>
      </w:r>
      <w:r w:rsidR="00DD737F">
        <w:t xml:space="preserve"> zúčtovávat</w:t>
      </w:r>
      <w:r w:rsidR="00903E64">
        <w:t xml:space="preserve"> dle přání </w:t>
      </w:r>
      <w:r w:rsidR="005F20A2">
        <w:t>zadavatele jedním z těchto způsobů</w:t>
      </w:r>
      <w:r w:rsidR="006B78CD">
        <w:t>:</w:t>
      </w:r>
    </w:p>
    <w:p w14:paraId="54640665" w14:textId="77777777" w:rsidR="00A145E1" w:rsidRDefault="006B78CD" w:rsidP="00984EB8">
      <w:pPr>
        <w:pStyle w:val="Odstavecseseznamem"/>
        <w:numPr>
          <w:ilvl w:val="1"/>
          <w:numId w:val="2"/>
        </w:numPr>
        <w:jc w:val="both"/>
      </w:pPr>
      <w:r>
        <w:t xml:space="preserve">V předem nastaveném kurzu </w:t>
      </w:r>
    </w:p>
    <w:p w14:paraId="1C56230A" w14:textId="77777777" w:rsidR="00014DD5" w:rsidRDefault="00A145E1" w:rsidP="00984EB8">
      <w:pPr>
        <w:pStyle w:val="Odstavecseseznamem"/>
        <w:numPr>
          <w:ilvl w:val="1"/>
          <w:numId w:val="2"/>
        </w:numPr>
        <w:jc w:val="both"/>
      </w:pPr>
      <w:r>
        <w:t xml:space="preserve">Nebo samostatném ceníku vedeném v </w:t>
      </w:r>
      <w:r w:rsidR="000A12F2" w:rsidRPr="0056539D">
        <w:t>€</w:t>
      </w:r>
      <w:r w:rsidR="000A12F2">
        <w:t xml:space="preserve">, tato skutečnost bude uvedena na PA v tištěné informaci a </w:t>
      </w:r>
      <w:r w:rsidR="00571A60">
        <w:t xml:space="preserve">v elektronické nápovědě </w:t>
      </w:r>
      <w:r w:rsidR="009B30E1">
        <w:t>v menu SW PA</w:t>
      </w:r>
    </w:p>
    <w:p w14:paraId="2F8B0203" w14:textId="77777777" w:rsidR="006C05E6" w:rsidRDefault="00984187" w:rsidP="00F518A1">
      <w:pPr>
        <w:pStyle w:val="Odstavecseseznamem"/>
        <w:numPr>
          <w:ilvl w:val="1"/>
          <w:numId w:val="2"/>
        </w:numPr>
        <w:jc w:val="both"/>
      </w:pPr>
      <w:r>
        <w:t xml:space="preserve">Bude umožňovat vypnutí příjmu </w:t>
      </w:r>
      <w:r w:rsidRPr="0056539D">
        <w:t>€</w:t>
      </w:r>
      <w:r>
        <w:t xml:space="preserve"> </w:t>
      </w:r>
    </w:p>
    <w:p w14:paraId="02D8FC98" w14:textId="77777777" w:rsidR="006C05E6" w:rsidRDefault="00600EA0" w:rsidP="00F518A1">
      <w:pPr>
        <w:pStyle w:val="nadpis1"/>
        <w:jc w:val="both"/>
      </w:pPr>
      <w:r>
        <w:lastRenderedPageBreak/>
        <w:t>Doklady</w:t>
      </w:r>
    </w:p>
    <w:p w14:paraId="595EFBFB" w14:textId="77777777" w:rsidR="006333BB" w:rsidRDefault="005F7FCF" w:rsidP="00F518A1">
      <w:pPr>
        <w:jc w:val="both"/>
      </w:pPr>
      <w:r w:rsidRPr="005F7FCF">
        <w:t>PA musí být vybaven tiskárnou s možností grafické úpravy</w:t>
      </w:r>
      <w:r w:rsidR="00676A39">
        <w:t xml:space="preserve"> </w:t>
      </w:r>
      <w:r w:rsidR="00DC70AA">
        <w:t>(</w:t>
      </w:r>
      <w:r w:rsidR="00676A39">
        <w:t>grafick</w:t>
      </w:r>
      <w:r w:rsidR="002D455F">
        <w:t>é</w:t>
      </w:r>
      <w:r w:rsidR="00676A39">
        <w:t xml:space="preserve"> úprav</w:t>
      </w:r>
      <w:r w:rsidR="002D455F">
        <w:t>y</w:t>
      </w:r>
      <w:r w:rsidR="00676A39">
        <w:t xml:space="preserve"> v definovaném stylu </w:t>
      </w:r>
      <w:r w:rsidR="002D455F">
        <w:t>zadavatele</w:t>
      </w:r>
      <w:r w:rsidR="00DC70AA">
        <w:t xml:space="preserve"> budou součástí dodávky </w:t>
      </w:r>
      <w:r w:rsidR="00053077">
        <w:t xml:space="preserve">na náklady </w:t>
      </w:r>
      <w:r w:rsidR="00994C73">
        <w:t>dodavatele</w:t>
      </w:r>
      <w:r w:rsidR="00A04695">
        <w:t xml:space="preserve">, dále bude mít zadavatel možnost dvakrát ročně upravit </w:t>
      </w:r>
      <w:r w:rsidR="006754B9">
        <w:t xml:space="preserve">grafické ztvárnění a </w:t>
      </w:r>
      <w:r w:rsidR="001C28D2">
        <w:t>údaje</w:t>
      </w:r>
      <w:r w:rsidR="00994C73">
        <w:t>)</w:t>
      </w:r>
      <w:r w:rsidR="002D455F">
        <w:t xml:space="preserve"> </w:t>
      </w:r>
      <w:r w:rsidRPr="005F7FCF">
        <w:t xml:space="preserve">informací na daňovém dokladu. Je vyžadován termální tiskový systém, mechanický tisk (jehličkové tiskárny) není akceptován.  Funkce tisku lístku bude podléhat samostatnému schválení tisku při nákupu parkovacího lístku, tj. neměla by být automatická z důvodu úspory životního prostředí. Upřednostňovanou možností bude zasílání e-mailem. Tisk na vydaném lístku musí být trvanlivý po dobu nejméně jednoho roku.  PA musí splňovat požadavky na dostatečnou zásobu parkovacích lístků v požadované délce včetně grafických informací (papírový kotouč musí mít délku minimálně 450 m). První dodávka PA musí obsahovat </w:t>
      </w:r>
      <w:r w:rsidR="003C57AA">
        <w:t>2</w:t>
      </w:r>
      <w:r w:rsidR="003C57AA" w:rsidRPr="005F7FCF">
        <w:t xml:space="preserve"> </w:t>
      </w:r>
      <w:r w:rsidRPr="005F7FCF">
        <w:t>rol</w:t>
      </w:r>
      <w:r w:rsidR="003C57AA">
        <w:t>e</w:t>
      </w:r>
      <w:r w:rsidRPr="005F7FCF">
        <w:t xml:space="preserve"> papíru</w:t>
      </w:r>
      <w:r w:rsidR="003C57AA">
        <w:t xml:space="preserve"> na automat</w:t>
      </w:r>
      <w:r w:rsidRPr="005F7FCF">
        <w:t xml:space="preserve"> pro tisk parkovacích lístků. V případě poruchy nebo nedostatku papíru musí PA informovat prostřednictvím zprávy na displeji o aktuální poruše.</w:t>
      </w:r>
      <w:r w:rsidR="00791C77">
        <w:t xml:space="preserve"> </w:t>
      </w:r>
      <w:r w:rsidR="00A121D4">
        <w:t xml:space="preserve">Mimo to musí PA tisknout či odesílat </w:t>
      </w:r>
      <w:r w:rsidR="00FF2084">
        <w:t>doklad o bezhotovostní úhradě parkovacího oprávnění č</w:t>
      </w:r>
      <w:r w:rsidR="00535951">
        <w:t>i jiného specifického poplatku.</w:t>
      </w:r>
    </w:p>
    <w:p w14:paraId="2BF59ED5" w14:textId="77777777" w:rsidR="00335754" w:rsidRDefault="00FF2406" w:rsidP="00335754">
      <w:pPr>
        <w:pStyle w:val="nadpis1"/>
      </w:pPr>
      <w:r>
        <w:t>Bezpečnost</w:t>
      </w:r>
    </w:p>
    <w:p w14:paraId="08DB2946" w14:textId="77777777" w:rsidR="0085743D" w:rsidRDefault="0085743D" w:rsidP="002203F3">
      <w:pPr>
        <w:jc w:val="both"/>
      </w:pPr>
      <w:r>
        <w:t>PA musí být navržen tak, aby všechny jeho vnější části odolaly různým útokům a poškozením v nechráněném a extrémním provozním prostředí.</w:t>
      </w:r>
    </w:p>
    <w:p w14:paraId="5ACB1860" w14:textId="77777777" w:rsidR="0085743D" w:rsidRDefault="0085743D" w:rsidP="002203F3">
      <w:pPr>
        <w:jc w:val="both"/>
      </w:pPr>
      <w:r>
        <w:t xml:space="preserve">PA musí být vyroben s vysokou úrovní pasivního zabezpečení proti vandalismu, minimálně na úrovni zabezpečení P1, kryt musí být odolný proti nárazu třídy IKP0 podle normy EN 50102 nebo ekvivalentní normy v jiné zemi EU. </w:t>
      </w:r>
    </w:p>
    <w:p w14:paraId="3C7312B0" w14:textId="77777777" w:rsidR="0085743D" w:rsidRDefault="0085743D" w:rsidP="002203F3">
      <w:pPr>
        <w:jc w:val="both"/>
      </w:pPr>
      <w:r>
        <w:t>PA musí být vybaven bezpečnostním zámkem servisního prostoru.</w:t>
      </w:r>
    </w:p>
    <w:p w14:paraId="25A0AE6D" w14:textId="77777777" w:rsidR="00984EB8" w:rsidRDefault="0085743D" w:rsidP="002203F3">
      <w:pPr>
        <w:jc w:val="both"/>
      </w:pPr>
      <w:r>
        <w:t>PA musí mít cylindrickou vložku a musí mít chráněný profil (to znamená, že zámek a cylindrická vložka nesmí být dostupné v běžných obchodech). Duplikáty stávajících klíčů lze pořídit pouze po předložení bezpečnostní karty poskytovateli parkovací techniky.</w:t>
      </w:r>
      <w:r w:rsidR="00984EB8">
        <w:t xml:space="preserve"> </w:t>
      </w:r>
    </w:p>
    <w:p w14:paraId="20503FD3" w14:textId="77777777" w:rsidR="00E543C8" w:rsidRPr="007A2F6B" w:rsidRDefault="00984EB8" w:rsidP="002203F3">
      <w:pPr>
        <w:jc w:val="both"/>
      </w:pPr>
      <w:r w:rsidRPr="007A2F6B">
        <w:t>Zadavatel požaduje možnost vybavení PA shodnými cylindrickými vložkami</w:t>
      </w:r>
      <w:r w:rsidR="00E543C8" w:rsidRPr="007A2F6B">
        <w:t xml:space="preserve"> pro vytvoření sad klíčů k PA. </w:t>
      </w:r>
    </w:p>
    <w:p w14:paraId="41AD4C48" w14:textId="77777777" w:rsidR="00A73432" w:rsidRPr="007A2F6B" w:rsidRDefault="00E543C8" w:rsidP="002203F3">
      <w:pPr>
        <w:jc w:val="both"/>
      </w:pPr>
      <w:r w:rsidRPr="007A2F6B">
        <w:t>Minimální počet PA v sadě je 5</w:t>
      </w:r>
      <w:r w:rsidR="00F518A1" w:rsidRPr="007A2F6B">
        <w:t>ks</w:t>
      </w:r>
      <w:r w:rsidRPr="007A2F6B">
        <w:t xml:space="preserve"> PA. </w:t>
      </w:r>
    </w:p>
    <w:p w14:paraId="30543CB3" w14:textId="77777777" w:rsidR="00856080" w:rsidRDefault="005D5DBF" w:rsidP="00856080">
      <w:pPr>
        <w:pStyle w:val="nadpis1"/>
      </w:pPr>
      <w:r>
        <w:t>softwáre</w:t>
      </w:r>
      <w:r w:rsidR="004B779A">
        <w:t xml:space="preserve"> PA</w:t>
      </w:r>
    </w:p>
    <w:p w14:paraId="2AA97100" w14:textId="77777777" w:rsidR="00CF092A" w:rsidRDefault="005134F0" w:rsidP="00F518A1">
      <w:pPr>
        <w:jc w:val="both"/>
      </w:pPr>
      <w:r>
        <w:t>Software PA musí být v</w:t>
      </w:r>
      <w:r w:rsidR="00CF092A">
        <w:t xml:space="preserve"> certifikovaném</w:t>
      </w:r>
      <w:r>
        <w:t xml:space="preserve"> grafickém stylu </w:t>
      </w:r>
      <w:r w:rsidR="00CF092A">
        <w:t>zadavatele.</w:t>
      </w:r>
    </w:p>
    <w:p w14:paraId="4160DBE6" w14:textId="10433B64" w:rsidR="00AD46DF" w:rsidRDefault="00CF092A" w:rsidP="00F518A1">
      <w:pPr>
        <w:jc w:val="both"/>
      </w:pPr>
      <w:r>
        <w:t xml:space="preserve">Software PA musí být </w:t>
      </w:r>
      <w:r w:rsidR="00871D7D">
        <w:t>schopen zobrazovat další informace na displeji</w:t>
      </w:r>
      <w:r w:rsidR="00965EA7">
        <w:t xml:space="preserve">, režim reklamního poutače (podmínkou je </w:t>
      </w:r>
      <w:r w:rsidR="00BD56F3">
        <w:t xml:space="preserve">napájení varianta </w:t>
      </w:r>
      <w:proofErr w:type="gramStart"/>
      <w:r w:rsidR="00BD56F3">
        <w:t>III..</w:t>
      </w:r>
      <w:proofErr w:type="gramEnd"/>
    </w:p>
    <w:p w14:paraId="3BE0EAA9" w14:textId="77777777" w:rsidR="005134F0" w:rsidRDefault="00AD46DF" w:rsidP="00F518A1">
      <w:pPr>
        <w:jc w:val="both"/>
      </w:pPr>
      <w:r>
        <w:t xml:space="preserve">Software PA musí být schopen přijmout úhradu </w:t>
      </w:r>
      <w:r w:rsidR="009968C4">
        <w:t xml:space="preserve">na základě QR kódu či zapsání </w:t>
      </w:r>
      <w:r w:rsidR="00F67F44">
        <w:t xml:space="preserve">variabilního kódu (například </w:t>
      </w:r>
      <w:r w:rsidR="00153C72">
        <w:t xml:space="preserve">úhrada </w:t>
      </w:r>
      <w:r w:rsidR="00636C0F">
        <w:t>vstupného</w:t>
      </w:r>
      <w:r w:rsidR="00F27F32">
        <w:t xml:space="preserve"> </w:t>
      </w:r>
      <w:r w:rsidR="00D7208E">
        <w:t>či městského poplatku</w:t>
      </w:r>
      <w:r w:rsidR="001E5401">
        <w:t xml:space="preserve">. Tato funkce bude integrována na vybraných PA a </w:t>
      </w:r>
      <w:r w:rsidR="00CC13CA">
        <w:t>dodavatel zajistí integraci</w:t>
      </w:r>
      <w:r w:rsidR="008514E8">
        <w:t xml:space="preserve"> s</w:t>
      </w:r>
      <w:r w:rsidR="00CF092A">
        <w:t xml:space="preserve"> </w:t>
      </w:r>
      <w:r w:rsidR="003E7438">
        <w:t xml:space="preserve">SW </w:t>
      </w:r>
      <w:r w:rsidR="008514E8">
        <w:t>zadavatele.</w:t>
      </w:r>
    </w:p>
    <w:p w14:paraId="3E9722A5" w14:textId="77777777" w:rsidR="004B779A" w:rsidRDefault="004B779A" w:rsidP="00F518A1">
      <w:pPr>
        <w:jc w:val="both"/>
      </w:pPr>
      <w:r>
        <w:t xml:space="preserve">Software PA musí být schopen sledovat informace o platbách a poskytovat statistické výstupy pro účely regulace parkování. </w:t>
      </w:r>
    </w:p>
    <w:p w14:paraId="4718F832" w14:textId="77777777" w:rsidR="004B779A" w:rsidRDefault="004B779A" w:rsidP="00F518A1">
      <w:pPr>
        <w:jc w:val="both"/>
      </w:pPr>
      <w:r>
        <w:t>Parkovací automaty musí být vybaveny elektronickým potvrzením zakoupeného parkovacího lístku. Toto potvrzení se řidiči zasílá e-mailem na e-mailovou adresu, kterou řidič uvedl při transakci. Elektronické potvrzení musí být alternativou k tisku parkovacího lístku. Řidič musí mít možnost zvolit si libovolnou formu potvrzení (vytištění lístku nebo zaslání e-mailem). Bez ohledu na volbu řidiče bude transakce přenesena na server elektronických parkovacích lístků pro účely ověření.</w:t>
      </w:r>
    </w:p>
    <w:p w14:paraId="23F6715B" w14:textId="77777777" w:rsidR="004B779A" w:rsidRPr="007A2F6B" w:rsidRDefault="004B779A" w:rsidP="00F518A1">
      <w:pPr>
        <w:jc w:val="both"/>
      </w:pPr>
      <w:r w:rsidRPr="007A2F6B">
        <w:t>Parkovací automaty musí být vybaveny funkcí, která si zapamatuje registrační číslo a e-mailovou adresu řidiče, a to pomocí platební karty, a to i v případě, že ji řidič použil k zaplacení parkovacího lístku. Funkce zapamatování informací z karty musí být k dispozici při příští platbě tak, že po předložení platební karty čtečka parkovacího automatu automaticky doplní registrační číslo a e-mailovou adresu použité při poslední transakci kartou</w:t>
      </w:r>
      <w:r w:rsidR="00E543C8" w:rsidRPr="007A2F6B">
        <w:t xml:space="preserve"> </w:t>
      </w:r>
      <w:r w:rsidR="003C57AA" w:rsidRPr="007A2F6B">
        <w:t>(tato varianta platí</w:t>
      </w:r>
      <w:r w:rsidR="00E543C8" w:rsidRPr="007A2F6B">
        <w:t>,</w:t>
      </w:r>
      <w:r w:rsidR="003C57AA" w:rsidRPr="007A2F6B">
        <w:t xml:space="preserve"> pokud se zadavatel rozhodne pro variantu s mechanickou čtečkou bankovních karet)</w:t>
      </w:r>
      <w:r w:rsidR="00E543C8" w:rsidRPr="007A2F6B">
        <w:t>.</w:t>
      </w:r>
    </w:p>
    <w:p w14:paraId="406765B5" w14:textId="77777777" w:rsidR="00856080" w:rsidRPr="007A2F6B" w:rsidRDefault="004B779A" w:rsidP="00F518A1">
      <w:pPr>
        <w:jc w:val="both"/>
      </w:pPr>
      <w:r w:rsidRPr="007A2F6B">
        <w:t>V případě jakéhokoli zásahu do PA</w:t>
      </w:r>
      <w:r w:rsidR="00F518A1" w:rsidRPr="007A2F6B">
        <w:t>,</w:t>
      </w:r>
      <w:r w:rsidRPr="007A2F6B">
        <w:t xml:space="preserve"> systém okamžitě odešle informaci servisnímu technikovi formou e-mailové zprávy nebo na centrální dispečink podle volby zákazníka. Systém zasílání zpráv musí být volitelně uživatelsky konfigurovatelný, a to jak z hlediska formy zasílání, tak z hlediska typu zprávy a časového rozsahu.</w:t>
      </w:r>
    </w:p>
    <w:p w14:paraId="59B5ACB1" w14:textId="77777777" w:rsidR="00E21F6E" w:rsidRDefault="00E21F6E" w:rsidP="001F3EBE"/>
    <w:p w14:paraId="29AED745" w14:textId="77777777" w:rsidR="007F5A19" w:rsidRDefault="007F5A19" w:rsidP="007F5A19">
      <w:pPr>
        <w:pStyle w:val="nadpis1"/>
      </w:pPr>
      <w:r>
        <w:lastRenderedPageBreak/>
        <w:t>Integrace</w:t>
      </w:r>
    </w:p>
    <w:p w14:paraId="33854B28" w14:textId="77777777" w:rsidR="00DF60D9" w:rsidRDefault="00C16B8E" w:rsidP="00F518A1">
      <w:pPr>
        <w:jc w:val="both"/>
      </w:pPr>
      <w:r>
        <w:t>D</w:t>
      </w:r>
      <w:r w:rsidR="00950B3D">
        <w:t>odavatel se zavazuje</w:t>
      </w:r>
      <w:r w:rsidR="00F518A1">
        <w:t>,</w:t>
      </w:r>
      <w:r w:rsidR="00950B3D">
        <w:t xml:space="preserve"> že SW PA a obslužný SW </w:t>
      </w:r>
      <w:r w:rsidR="00B63795">
        <w:t xml:space="preserve">zaintegruje </w:t>
      </w:r>
      <w:r w:rsidR="0093452E">
        <w:t>pomocí API</w:t>
      </w:r>
      <w:r w:rsidR="00950B3D">
        <w:t xml:space="preserve"> </w:t>
      </w:r>
      <w:r w:rsidR="003E28FB">
        <w:t>do kontrolního SW</w:t>
      </w:r>
      <w:r w:rsidR="00134449">
        <w:t xml:space="preserve"> zadavatele</w:t>
      </w:r>
      <w:r w:rsidR="009971E4">
        <w:t xml:space="preserve"> </w:t>
      </w:r>
      <w:r w:rsidR="00FD656F">
        <w:t xml:space="preserve">nejpozději do </w:t>
      </w:r>
      <w:r w:rsidR="00DF60D9">
        <w:t xml:space="preserve">termínu dodání </w:t>
      </w:r>
      <w:proofErr w:type="gramStart"/>
      <w:r w:rsidR="00DF60D9">
        <w:t>PA</w:t>
      </w:r>
      <w:proofErr w:type="gramEnd"/>
      <w:r w:rsidR="00134449">
        <w:t xml:space="preserve"> a to</w:t>
      </w:r>
      <w:r w:rsidR="00DF60D9">
        <w:t xml:space="preserve"> v režimech:</w:t>
      </w:r>
    </w:p>
    <w:p w14:paraId="1BA11640" w14:textId="77777777" w:rsidR="00EF37F6" w:rsidRDefault="00664BCF" w:rsidP="00F518A1">
      <w:pPr>
        <w:pStyle w:val="Odstavecseseznamem"/>
        <w:numPr>
          <w:ilvl w:val="0"/>
          <w:numId w:val="3"/>
        </w:numPr>
        <w:jc w:val="both"/>
      </w:pPr>
      <w:r>
        <w:t>PA to SW</w:t>
      </w:r>
      <w:r w:rsidR="00134449">
        <w:t xml:space="preserve"> komunikace</w:t>
      </w:r>
      <w:r w:rsidR="00C91662">
        <w:t xml:space="preserve">, kdy do SW zadavatele bude přenášet veškeré informace o platbách provedených na </w:t>
      </w:r>
      <w:proofErr w:type="gramStart"/>
      <w:r w:rsidR="00C91662">
        <w:t>PA</w:t>
      </w:r>
      <w:proofErr w:type="gramEnd"/>
      <w:r w:rsidR="00EF37F6">
        <w:t xml:space="preserve"> a to</w:t>
      </w:r>
      <w:r w:rsidR="00D200AA">
        <w:t xml:space="preserve"> nejméně</w:t>
      </w:r>
      <w:r w:rsidR="00EF37F6">
        <w:t xml:space="preserve"> v</w:t>
      </w:r>
      <w:r w:rsidR="00C17893">
        <w:t> </w:t>
      </w:r>
      <w:r w:rsidR="00EF37F6">
        <w:t>rozsahu</w:t>
      </w:r>
      <w:r w:rsidR="00C17893">
        <w:t>:</w:t>
      </w:r>
    </w:p>
    <w:p w14:paraId="0DDF4B20" w14:textId="77777777" w:rsidR="00C17893" w:rsidRDefault="00C17893" w:rsidP="00F518A1">
      <w:pPr>
        <w:pStyle w:val="Odstavecseseznamem"/>
        <w:numPr>
          <w:ilvl w:val="1"/>
          <w:numId w:val="3"/>
        </w:numPr>
        <w:jc w:val="both"/>
      </w:pPr>
      <w:r>
        <w:t>ID platby</w:t>
      </w:r>
    </w:p>
    <w:p w14:paraId="4A51D51A" w14:textId="77777777" w:rsidR="00C17893" w:rsidRDefault="00C17893" w:rsidP="00F518A1">
      <w:pPr>
        <w:pStyle w:val="Odstavecseseznamem"/>
        <w:numPr>
          <w:ilvl w:val="1"/>
          <w:numId w:val="3"/>
        </w:numPr>
        <w:jc w:val="both"/>
      </w:pPr>
      <w:r>
        <w:t>RZ</w:t>
      </w:r>
    </w:p>
    <w:p w14:paraId="4069356A" w14:textId="77777777" w:rsidR="00C17893" w:rsidRDefault="00C64334" w:rsidP="00F518A1">
      <w:pPr>
        <w:pStyle w:val="Odstavecseseznamem"/>
        <w:numPr>
          <w:ilvl w:val="1"/>
          <w:numId w:val="3"/>
        </w:numPr>
        <w:jc w:val="both"/>
      </w:pPr>
      <w:r>
        <w:t>Č</w:t>
      </w:r>
      <w:r w:rsidR="002F225B">
        <w:t>íslo PA</w:t>
      </w:r>
    </w:p>
    <w:p w14:paraId="1F32FDB9" w14:textId="77777777" w:rsidR="00A3127A" w:rsidRDefault="00997C24" w:rsidP="00F518A1">
      <w:pPr>
        <w:pStyle w:val="Odstavecseseznamem"/>
        <w:numPr>
          <w:ilvl w:val="1"/>
          <w:numId w:val="3"/>
        </w:numPr>
        <w:jc w:val="both"/>
      </w:pPr>
      <w:r>
        <w:t>Platnost OD</w:t>
      </w:r>
    </w:p>
    <w:p w14:paraId="023C705D" w14:textId="77777777" w:rsidR="00997C24" w:rsidRDefault="00997C24" w:rsidP="00F518A1">
      <w:pPr>
        <w:pStyle w:val="Odstavecseseznamem"/>
        <w:numPr>
          <w:ilvl w:val="1"/>
          <w:numId w:val="3"/>
        </w:numPr>
        <w:jc w:val="both"/>
      </w:pPr>
      <w:r>
        <w:t>Platnost DO</w:t>
      </w:r>
    </w:p>
    <w:p w14:paraId="63AF3E34" w14:textId="77777777" w:rsidR="0068289F" w:rsidRDefault="00720DB6" w:rsidP="00F518A1">
      <w:pPr>
        <w:pStyle w:val="Odstavecseseznamem"/>
        <w:numPr>
          <w:ilvl w:val="0"/>
          <w:numId w:val="3"/>
        </w:numPr>
        <w:jc w:val="both"/>
      </w:pPr>
      <w:r>
        <w:t>SW</w:t>
      </w:r>
      <w:r w:rsidR="00C91662">
        <w:t xml:space="preserve"> </w:t>
      </w:r>
      <w:r>
        <w:t>to</w:t>
      </w:r>
      <w:r w:rsidR="00C91662">
        <w:t xml:space="preserve"> </w:t>
      </w:r>
      <w:r w:rsidR="00B77DC2">
        <w:t xml:space="preserve">PA </w:t>
      </w:r>
      <w:r>
        <w:t>komunikace</w:t>
      </w:r>
      <w:r w:rsidR="00C1585F">
        <w:t xml:space="preserve"> „A“</w:t>
      </w:r>
      <w:r>
        <w:t xml:space="preserve"> </w:t>
      </w:r>
      <w:r w:rsidR="00B77DC2">
        <w:t>bude přenášet podklady pro spe</w:t>
      </w:r>
      <w:r w:rsidR="00B0298C">
        <w:t xml:space="preserve">cifické platby </w:t>
      </w:r>
      <w:r w:rsidR="003B3B45">
        <w:t>„</w:t>
      </w:r>
      <w:r w:rsidR="00B0298C" w:rsidRPr="003B3B45">
        <w:rPr>
          <w:i/>
          <w:iCs/>
        </w:rPr>
        <w:t xml:space="preserve">jako jsou třeba poplatky </w:t>
      </w:r>
      <w:r w:rsidR="008D2AB4" w:rsidRPr="003B3B45">
        <w:rPr>
          <w:i/>
          <w:iCs/>
        </w:rPr>
        <w:t>za svoz komunálního odpadu</w:t>
      </w:r>
      <w:r w:rsidR="003B3B45">
        <w:rPr>
          <w:i/>
          <w:iCs/>
        </w:rPr>
        <w:t>“</w:t>
      </w:r>
      <w:r w:rsidR="008D2AB4">
        <w:t xml:space="preserve"> v</w:t>
      </w:r>
      <w:r w:rsidR="00241982">
        <w:t xml:space="preserve"> minimálním</w:t>
      </w:r>
      <w:r w:rsidR="0043421D">
        <w:t> </w:t>
      </w:r>
      <w:r w:rsidR="008D2AB4">
        <w:t>rozsahu</w:t>
      </w:r>
      <w:r w:rsidR="0043421D">
        <w:t>:</w:t>
      </w:r>
      <w:r w:rsidR="008D2AB4">
        <w:t xml:space="preserve"> </w:t>
      </w:r>
    </w:p>
    <w:p w14:paraId="54F2475B" w14:textId="77777777" w:rsidR="0068289F" w:rsidRDefault="007A34AB" w:rsidP="00F518A1">
      <w:pPr>
        <w:pStyle w:val="Odstavecseseznamem"/>
        <w:numPr>
          <w:ilvl w:val="1"/>
          <w:numId w:val="3"/>
        </w:numPr>
        <w:jc w:val="both"/>
      </w:pPr>
      <w:r>
        <w:t>variabilní symbol</w:t>
      </w:r>
    </w:p>
    <w:p w14:paraId="6DA83F34" w14:textId="77777777" w:rsidR="0068289F" w:rsidRDefault="007A34AB" w:rsidP="00F518A1">
      <w:pPr>
        <w:pStyle w:val="Odstavecseseznamem"/>
        <w:numPr>
          <w:ilvl w:val="1"/>
          <w:numId w:val="3"/>
        </w:numPr>
        <w:jc w:val="both"/>
      </w:pPr>
      <w:r>
        <w:t>částka</w:t>
      </w:r>
    </w:p>
    <w:p w14:paraId="6A8DA33A" w14:textId="77777777" w:rsidR="00E21EFB" w:rsidRDefault="00EE500A" w:rsidP="00F518A1">
      <w:pPr>
        <w:pStyle w:val="Odstavecseseznamem"/>
        <w:numPr>
          <w:ilvl w:val="1"/>
          <w:numId w:val="3"/>
        </w:numPr>
        <w:jc w:val="both"/>
      </w:pPr>
      <w:r>
        <w:t>textová informace</w:t>
      </w:r>
      <w:r w:rsidR="007A34AB">
        <w:t xml:space="preserve"> </w:t>
      </w:r>
    </w:p>
    <w:p w14:paraId="56BBD34B" w14:textId="77777777" w:rsidR="00334B59" w:rsidRDefault="00C43D1E" w:rsidP="00F518A1">
      <w:pPr>
        <w:pStyle w:val="Odstavecseseznamem"/>
        <w:numPr>
          <w:ilvl w:val="0"/>
          <w:numId w:val="3"/>
        </w:numPr>
        <w:jc w:val="both"/>
      </w:pPr>
      <w:r>
        <w:t xml:space="preserve">SW to PA komunikace </w:t>
      </w:r>
      <w:r w:rsidR="00C1585F">
        <w:t xml:space="preserve">„B“ </w:t>
      </w:r>
      <w:r w:rsidR="00CC3AF9">
        <w:t xml:space="preserve">bude přenášet podklady pro </w:t>
      </w:r>
      <w:r w:rsidR="007633DE">
        <w:t>režim reklamního poutače</w:t>
      </w:r>
    </w:p>
    <w:p w14:paraId="7EA5BB4F" w14:textId="77777777" w:rsidR="000B41A9" w:rsidRDefault="000B41A9" w:rsidP="00F518A1">
      <w:pPr>
        <w:pStyle w:val="Odstavecseseznamem"/>
        <w:numPr>
          <w:ilvl w:val="0"/>
          <w:numId w:val="3"/>
        </w:numPr>
        <w:jc w:val="both"/>
      </w:pPr>
      <w:r>
        <w:t xml:space="preserve">SW to PA komunikace </w:t>
      </w:r>
      <w:r w:rsidR="00636E92">
        <w:t xml:space="preserve">„C“ RZ pro rezidentní slevu (bude upřesněno </w:t>
      </w:r>
      <w:r w:rsidR="003F5FB8">
        <w:t xml:space="preserve">dle SW </w:t>
      </w:r>
      <w:r w:rsidR="00E67B52">
        <w:t>zadavatele</w:t>
      </w:r>
      <w:r w:rsidR="0016738E">
        <w:t>)</w:t>
      </w:r>
    </w:p>
    <w:p w14:paraId="370FC873" w14:textId="77777777" w:rsidR="007F5A19" w:rsidRDefault="00A733E0" w:rsidP="00F518A1">
      <w:pPr>
        <w:jc w:val="both"/>
      </w:pPr>
      <w:r>
        <w:t>T</w:t>
      </w:r>
      <w:r w:rsidR="007A34AB">
        <w:t>ato integrace</w:t>
      </w:r>
      <w:r w:rsidR="00EE500A">
        <w:t xml:space="preserve"> je</w:t>
      </w:r>
      <w:r w:rsidR="008F687C">
        <w:t xml:space="preserve"> nedílnou</w:t>
      </w:r>
      <w:r w:rsidR="00EE500A">
        <w:t xml:space="preserve"> </w:t>
      </w:r>
      <w:r w:rsidR="008F687C">
        <w:t>součástí dodávky</w:t>
      </w:r>
      <w:r w:rsidR="00EE500A">
        <w:t xml:space="preserve"> dodavatele.</w:t>
      </w:r>
      <w:r w:rsidR="007A34AB">
        <w:t xml:space="preserve"> </w:t>
      </w:r>
    </w:p>
    <w:p w14:paraId="06086A67" w14:textId="77777777" w:rsidR="003C57AA" w:rsidRDefault="003C57AA" w:rsidP="003C57AA">
      <w:pPr>
        <w:pStyle w:val="nadpis1"/>
      </w:pPr>
      <w:r>
        <w:t>Dohledový softw</w:t>
      </w:r>
      <w:r w:rsidR="00E543C8">
        <w:t>A</w:t>
      </w:r>
      <w:r>
        <w:t>re</w:t>
      </w:r>
    </w:p>
    <w:p w14:paraId="0BE6A1E6" w14:textId="77777777" w:rsidR="003C57AA" w:rsidRDefault="003C57AA" w:rsidP="00F518A1">
      <w:pPr>
        <w:jc w:val="both"/>
      </w:pPr>
      <w:r>
        <w:t>Dodavatel se zavazuje že obslužný SW bude umožňovat tyto funkcionality:</w:t>
      </w:r>
    </w:p>
    <w:p w14:paraId="29DDBC0A" w14:textId="7E4A1C2E" w:rsidR="003C57AA" w:rsidRDefault="003C57AA" w:rsidP="00F518A1">
      <w:pPr>
        <w:pStyle w:val="Odstavecseseznamem"/>
        <w:numPr>
          <w:ilvl w:val="0"/>
          <w:numId w:val="5"/>
        </w:numPr>
        <w:jc w:val="both"/>
      </w:pPr>
      <w:r>
        <w:t>SW umožní</w:t>
      </w:r>
      <w:r w:rsidR="00B41C6E">
        <w:t xml:space="preserve"> strukturovaný</w:t>
      </w:r>
      <w:r>
        <w:t xml:space="preserve"> přístup</w:t>
      </w:r>
      <w:r w:rsidR="00B41C6E">
        <w:t xml:space="preserve"> k </w:t>
      </w:r>
      <w:r w:rsidR="00421AA3">
        <w:t>datům dle</w:t>
      </w:r>
      <w:r w:rsidR="00B41C6E">
        <w:t xml:space="preserve"> uživatelského jména a hesla</w:t>
      </w:r>
    </w:p>
    <w:p w14:paraId="3A838A0C" w14:textId="77777777" w:rsidR="00D4598C" w:rsidRDefault="00B41C6E" w:rsidP="00F518A1">
      <w:pPr>
        <w:pStyle w:val="Odstavecseseznamem"/>
        <w:numPr>
          <w:ilvl w:val="0"/>
          <w:numId w:val="5"/>
        </w:numPr>
        <w:jc w:val="both"/>
      </w:pPr>
      <w:r>
        <w:t xml:space="preserve">SW </w:t>
      </w:r>
      <w:r w:rsidR="00D4598C">
        <w:t>umožní náhled a shromáždění statistických informací o platbách a chování parkovacích automatů</w:t>
      </w:r>
      <w:r w:rsidR="00E543C8">
        <w:t>,</w:t>
      </w:r>
      <w:r w:rsidR="00D4598C">
        <w:t xml:space="preserve"> jako je například</w:t>
      </w:r>
    </w:p>
    <w:p w14:paraId="6353D3F6" w14:textId="77777777" w:rsidR="00D4598C" w:rsidRDefault="00D4598C" w:rsidP="00F518A1">
      <w:pPr>
        <w:pStyle w:val="Odstavecseseznamem"/>
        <w:numPr>
          <w:ilvl w:val="1"/>
          <w:numId w:val="5"/>
        </w:numPr>
        <w:jc w:val="both"/>
      </w:pPr>
      <w:r>
        <w:t>Stav baterie</w:t>
      </w:r>
    </w:p>
    <w:p w14:paraId="21F769E6" w14:textId="77777777" w:rsidR="00D4598C" w:rsidRDefault="00D4598C" w:rsidP="00F518A1">
      <w:pPr>
        <w:pStyle w:val="Odstavecseseznamem"/>
        <w:numPr>
          <w:ilvl w:val="1"/>
          <w:numId w:val="5"/>
        </w:numPr>
        <w:jc w:val="both"/>
      </w:pPr>
      <w:r>
        <w:t>Stav a počet lístků</w:t>
      </w:r>
    </w:p>
    <w:p w14:paraId="2BA654C1" w14:textId="77777777" w:rsidR="00D4598C" w:rsidRDefault="00D4598C" w:rsidP="00F518A1">
      <w:pPr>
        <w:pStyle w:val="Odstavecseseznamem"/>
        <w:numPr>
          <w:ilvl w:val="1"/>
          <w:numId w:val="5"/>
        </w:numPr>
        <w:jc w:val="both"/>
      </w:pPr>
      <w:r>
        <w:t>Objem mincí v trezoru</w:t>
      </w:r>
    </w:p>
    <w:p w14:paraId="270E2C6F" w14:textId="77777777" w:rsidR="00D4598C" w:rsidRDefault="00D4598C" w:rsidP="00F518A1">
      <w:pPr>
        <w:pStyle w:val="Odstavecseseznamem"/>
        <w:numPr>
          <w:ilvl w:val="1"/>
          <w:numId w:val="5"/>
        </w:numPr>
        <w:jc w:val="both"/>
      </w:pPr>
      <w:r>
        <w:t>Stav a kvalita signálu</w:t>
      </w:r>
    </w:p>
    <w:p w14:paraId="65CB5A44" w14:textId="77777777" w:rsidR="00B41C6E" w:rsidRDefault="00D4598C" w:rsidP="00F518A1">
      <w:pPr>
        <w:pStyle w:val="Odstavecseseznamem"/>
        <w:numPr>
          <w:ilvl w:val="0"/>
          <w:numId w:val="5"/>
        </w:numPr>
        <w:jc w:val="both"/>
      </w:pPr>
      <w:r>
        <w:t>SW umožní sledovat výběry mincí</w:t>
      </w:r>
    </w:p>
    <w:p w14:paraId="4552C888" w14:textId="77777777" w:rsidR="00D4598C" w:rsidRDefault="00D4598C" w:rsidP="00F518A1">
      <w:pPr>
        <w:pStyle w:val="Odstavecseseznamem"/>
        <w:numPr>
          <w:ilvl w:val="0"/>
          <w:numId w:val="5"/>
        </w:numPr>
        <w:jc w:val="both"/>
      </w:pPr>
      <w:r>
        <w:t xml:space="preserve">SW u vybraných poruch PA přepošle email umělé inteligenci a ta pomocí </w:t>
      </w:r>
      <w:proofErr w:type="spellStart"/>
      <w:r w:rsidRPr="00D4598C">
        <w:t>voice</w:t>
      </w:r>
      <w:proofErr w:type="spellEnd"/>
      <w:r w:rsidRPr="00D4598C">
        <w:t xml:space="preserve"> bot</w:t>
      </w:r>
      <w:r>
        <w:t>a poruchu zavolá na předem určené číslo technika dle nastaveného harmonogramu objednatele</w:t>
      </w:r>
    </w:p>
    <w:p w14:paraId="13E3DD7B" w14:textId="77777777" w:rsidR="00D4598C" w:rsidRDefault="00D4598C" w:rsidP="00F518A1">
      <w:pPr>
        <w:pStyle w:val="Odstavecseseznamem"/>
        <w:numPr>
          <w:ilvl w:val="1"/>
          <w:numId w:val="5"/>
        </w:numPr>
        <w:jc w:val="both"/>
      </w:pPr>
      <w:r>
        <w:t>Ostatní poruchy odešle dohledový SW</w:t>
      </w:r>
      <w:r w:rsidR="00421AA3">
        <w:t xml:space="preserve"> emailem dle preferencí a nastavení uživatele</w:t>
      </w:r>
    </w:p>
    <w:p w14:paraId="27B46385" w14:textId="77777777" w:rsidR="00421AA3" w:rsidRDefault="00421AA3" w:rsidP="00F518A1">
      <w:pPr>
        <w:pStyle w:val="Odstavecseseznamem"/>
        <w:numPr>
          <w:ilvl w:val="1"/>
          <w:numId w:val="5"/>
        </w:numPr>
        <w:jc w:val="both"/>
      </w:pPr>
      <w:r>
        <w:t xml:space="preserve">Statistické informace odešle dohledový SW emailem </w:t>
      </w:r>
    </w:p>
    <w:p w14:paraId="4E5AA2C2" w14:textId="77777777" w:rsidR="00421AA3" w:rsidRDefault="00421AA3" w:rsidP="00F518A1">
      <w:pPr>
        <w:pStyle w:val="Odstavecseseznamem"/>
        <w:numPr>
          <w:ilvl w:val="1"/>
          <w:numId w:val="5"/>
        </w:numPr>
        <w:jc w:val="both"/>
      </w:pPr>
      <w:r>
        <w:t>Alternativně půjde nastavit možnost zaslání informací pomocí SMS</w:t>
      </w:r>
    </w:p>
    <w:p w14:paraId="0622C439" w14:textId="77777777" w:rsidR="00421AA3" w:rsidRDefault="00421AA3" w:rsidP="00F518A1">
      <w:pPr>
        <w:pStyle w:val="Odstavecseseznamem"/>
        <w:numPr>
          <w:ilvl w:val="0"/>
          <w:numId w:val="5"/>
        </w:numPr>
        <w:jc w:val="both"/>
      </w:pPr>
      <w:r>
        <w:t>SW umožní evidenci a náhled automatů na mapě</w:t>
      </w:r>
      <w:r w:rsidR="002203F3">
        <w:t>.</w:t>
      </w:r>
    </w:p>
    <w:p w14:paraId="4F477A88" w14:textId="6C2F4239" w:rsidR="00421AA3" w:rsidRDefault="00E543C8" w:rsidP="00AF31AA">
      <w:pPr>
        <w:pStyle w:val="Odstavecseseznamem"/>
        <w:numPr>
          <w:ilvl w:val="0"/>
          <w:numId w:val="5"/>
        </w:numPr>
        <w:jc w:val="both"/>
      </w:pPr>
      <w:r w:rsidRPr="007A2F6B">
        <w:t>Dohledový SW bude mít českou lokalizaci</w:t>
      </w:r>
      <w:r w:rsidR="002203F3" w:rsidRPr="007A2F6B">
        <w:t>.</w:t>
      </w:r>
    </w:p>
    <w:p w14:paraId="6CFB5DB6" w14:textId="1F633464" w:rsidR="00F15495" w:rsidRDefault="00C55AC0" w:rsidP="00F15495">
      <w:pPr>
        <w:pStyle w:val="nadpis1"/>
      </w:pPr>
      <w:r>
        <w:t xml:space="preserve">požadovaná </w:t>
      </w:r>
      <w:r w:rsidR="00F15495">
        <w:t xml:space="preserve">Funkční Zkouška před podpisem smlouvy </w:t>
      </w:r>
    </w:p>
    <w:p w14:paraId="02470954" w14:textId="6241F142" w:rsidR="00F15495" w:rsidRDefault="00F15495" w:rsidP="00F15495">
      <w:pPr>
        <w:jc w:val="both"/>
      </w:pPr>
      <w:r>
        <w:t>Dodavatel před podpisem smlouvy v katastru objednatele provede funkční zkoušku s těmito podmínkami:</w:t>
      </w:r>
    </w:p>
    <w:p w14:paraId="4C80B809" w14:textId="3639314F" w:rsidR="00F15495" w:rsidRDefault="00F15495" w:rsidP="00F15495">
      <w:pPr>
        <w:pStyle w:val="Odstavecseseznamem"/>
        <w:numPr>
          <w:ilvl w:val="0"/>
          <w:numId w:val="9"/>
        </w:numPr>
        <w:jc w:val="both"/>
      </w:pPr>
      <w:proofErr w:type="gramStart"/>
      <w:r>
        <w:t>Předvedení</w:t>
      </w:r>
      <w:r w:rsidR="00A223DF">
        <w:t xml:space="preserve">  </w:t>
      </w:r>
      <w:r>
        <w:t>PA</w:t>
      </w:r>
      <w:proofErr w:type="gramEnd"/>
      <w:r>
        <w:t xml:space="preserve"> v požadované barvě s ukázkou barevného identifikátoru (v jakékoli z vyjmenovaných barev)</w:t>
      </w:r>
    </w:p>
    <w:p w14:paraId="54BCE072" w14:textId="7F3DB99F" w:rsidR="00F15495" w:rsidRDefault="00F15495" w:rsidP="00F15495">
      <w:pPr>
        <w:pStyle w:val="Odstavecseseznamem"/>
        <w:numPr>
          <w:ilvl w:val="0"/>
          <w:numId w:val="9"/>
        </w:numPr>
        <w:jc w:val="both"/>
      </w:pPr>
      <w:r>
        <w:t>Předvedení</w:t>
      </w:r>
      <w:r w:rsidR="00A223DF">
        <w:t xml:space="preserve"> </w:t>
      </w:r>
      <w:r>
        <w:t xml:space="preserve">PA </w:t>
      </w:r>
      <w:r w:rsidR="003620DD">
        <w:t>s</w:t>
      </w:r>
      <w:r w:rsidR="00A223DF">
        <w:t> </w:t>
      </w:r>
      <w:r w:rsidR="003620DD">
        <w:t>integrovaným</w:t>
      </w:r>
      <w:r w:rsidR="00A223DF">
        <w:t xml:space="preserve"> certifikovaným stylem </w:t>
      </w:r>
      <w:r w:rsidR="003620DD">
        <w:t>grafick</w:t>
      </w:r>
      <w:r w:rsidR="00A223DF">
        <w:t>ého</w:t>
      </w:r>
      <w:r w:rsidR="003620DD">
        <w:t xml:space="preserve"> rozhraním Poděbrad, jak zobrazené informace na</w:t>
      </w:r>
      <w:r w:rsidR="00596334">
        <w:t xml:space="preserve"> displeji </w:t>
      </w:r>
      <w:proofErr w:type="gramStart"/>
      <w:r w:rsidR="00F27343">
        <w:t>PA</w:t>
      </w:r>
      <w:proofErr w:type="gramEnd"/>
      <w:r w:rsidR="003620DD">
        <w:t xml:space="preserve"> tak</w:t>
      </w:r>
      <w:r w:rsidR="0006620A">
        <w:t xml:space="preserve"> </w:t>
      </w:r>
      <w:r w:rsidR="007166CD">
        <w:t>strukturu platby tarifu</w:t>
      </w:r>
      <w:r w:rsidR="00514EDF">
        <w:t xml:space="preserve"> a tisk</w:t>
      </w:r>
      <w:r w:rsidR="003620DD">
        <w:t xml:space="preserve"> parkovací</w:t>
      </w:r>
      <w:r w:rsidR="00514EDF">
        <w:t>ho</w:t>
      </w:r>
      <w:r w:rsidR="003620DD">
        <w:t xml:space="preserve"> lístk</w:t>
      </w:r>
      <w:r w:rsidR="00514EDF">
        <w:t>u</w:t>
      </w:r>
      <w:r w:rsidR="003620DD">
        <w:t>.</w:t>
      </w:r>
    </w:p>
    <w:p w14:paraId="155EE977" w14:textId="56767623" w:rsidR="00596334" w:rsidRDefault="00596334" w:rsidP="00F15495">
      <w:pPr>
        <w:pStyle w:val="Odstavecseseznamem"/>
        <w:numPr>
          <w:ilvl w:val="0"/>
          <w:numId w:val="9"/>
        </w:numPr>
        <w:jc w:val="both"/>
      </w:pPr>
      <w:r>
        <w:t xml:space="preserve">Předvedení </w:t>
      </w:r>
      <w:r w:rsidR="00484A2A">
        <w:t>PA</w:t>
      </w:r>
      <w:r>
        <w:t xml:space="preserve"> s integrovaným tarifem Poděbrad dle platné legislativy. (</w:t>
      </w:r>
      <w:r w:rsidR="00A223DF">
        <w:t>jeden z aktuálně platných tarifů)</w:t>
      </w:r>
    </w:p>
    <w:p w14:paraId="03F76BF9" w14:textId="6025D67C" w:rsidR="00A223DF" w:rsidRDefault="00A223DF" w:rsidP="00F15495">
      <w:pPr>
        <w:pStyle w:val="Odstavecseseznamem"/>
        <w:numPr>
          <w:ilvl w:val="0"/>
          <w:numId w:val="9"/>
        </w:numPr>
        <w:jc w:val="both"/>
      </w:pPr>
      <w:r>
        <w:t>Předvedení integrace API komunikace PA s</w:t>
      </w:r>
      <w:r w:rsidR="00E42035">
        <w:t> </w:t>
      </w:r>
      <w:r>
        <w:t>KPO</w:t>
      </w:r>
      <w:r w:rsidR="00E42035">
        <w:t xml:space="preserve"> </w:t>
      </w:r>
      <w:r w:rsidR="00484A2A">
        <w:t xml:space="preserve">města </w:t>
      </w:r>
      <w:r w:rsidR="00E42035">
        <w:t>Poděbrad</w:t>
      </w:r>
      <w:r w:rsidR="00484A2A">
        <w:t>y</w:t>
      </w:r>
      <w:r>
        <w:t xml:space="preserve"> (Kontrola Parkovacích Oprávnění) s</w:t>
      </w:r>
      <w:r w:rsidR="00C55AC0">
        <w:t> </w:t>
      </w:r>
      <w:r>
        <w:t>hodnotami</w:t>
      </w:r>
      <w:r w:rsidR="00C55AC0">
        <w:t>: RZ / čas a datum OD / čas a datum DO / ID Lokality</w:t>
      </w:r>
    </w:p>
    <w:p w14:paraId="0F38324D" w14:textId="77777777" w:rsidR="00C55AC0" w:rsidRDefault="00C55AC0" w:rsidP="00C55AC0">
      <w:pPr>
        <w:pStyle w:val="Odstavecseseznamem"/>
        <w:jc w:val="both"/>
      </w:pPr>
    </w:p>
    <w:sectPr w:rsidR="00C55AC0" w:rsidSect="00931B72">
      <w:footerReference w:type="default" r:id="rId12"/>
      <w:headerReference w:type="first" r:id="rId13"/>
      <w:pgSz w:w="11907" w:h="16839" w:code="9"/>
      <w:pgMar w:top="1440" w:right="1080" w:bottom="1080" w:left="1080" w:header="86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B1EE39" w14:textId="77777777" w:rsidR="00414733" w:rsidRDefault="00414733">
      <w:pPr>
        <w:spacing w:before="0" w:after="0"/>
      </w:pPr>
      <w:r>
        <w:separator/>
      </w:r>
    </w:p>
  </w:endnote>
  <w:endnote w:type="continuationSeparator" w:id="0">
    <w:p w14:paraId="0B64D95D" w14:textId="77777777" w:rsidR="00414733" w:rsidRDefault="0041473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7244AE" w14:textId="7621A6A5" w:rsidR="00B01BD6" w:rsidRDefault="006B72AC">
    <w:pPr>
      <w:pStyle w:val="zpat"/>
    </w:pPr>
    <w:r>
      <w:t xml:space="preserve">Stránka </w:t>
    </w:r>
    <w:r>
      <w:fldChar w:fldCharType="begin"/>
    </w:r>
    <w:r>
      <w:instrText>page</w:instrText>
    </w:r>
    <w:r>
      <w:fldChar w:fldCharType="separate"/>
    </w:r>
    <w:r w:rsidR="00B12B9F">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667F28" w14:textId="77777777" w:rsidR="00414733" w:rsidRDefault="00414733">
      <w:pPr>
        <w:spacing w:before="0" w:after="0"/>
      </w:pPr>
      <w:r>
        <w:separator/>
      </w:r>
    </w:p>
  </w:footnote>
  <w:footnote w:type="continuationSeparator" w:id="0">
    <w:p w14:paraId="5DB0DAAB" w14:textId="77777777" w:rsidR="00414733" w:rsidRDefault="0041473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Look w:val="04A0" w:firstRow="1" w:lastRow="0" w:firstColumn="1" w:lastColumn="0" w:noHBand="0" w:noVBand="1"/>
    </w:tblPr>
    <w:tblGrid>
      <w:gridCol w:w="4873"/>
      <w:gridCol w:w="4874"/>
    </w:tblGrid>
    <w:tr w:rsidR="00B01BD6" w14:paraId="7087DF9E" w14:textId="77777777">
      <w:tc>
        <w:tcPr>
          <w:tcW w:w="2500" w:type="pct"/>
          <w:vAlign w:val="bottom"/>
        </w:tcPr>
        <w:p w14:paraId="5B377442" w14:textId="77777777" w:rsidR="00B01BD6" w:rsidRPr="00C44D14" w:rsidRDefault="00C44D14">
          <w:pPr>
            <w:spacing w:after="0"/>
            <w:rPr>
              <w:rFonts w:ascii="Arial" w:hAnsi="Arial" w:cs="Arial"/>
              <w:sz w:val="52"/>
              <w:szCs w:val="52"/>
            </w:rPr>
          </w:pPr>
          <w:r w:rsidRPr="00C44D14">
            <w:rPr>
              <w:rFonts w:ascii="Arial" w:hAnsi="Arial" w:cs="Arial"/>
              <w:color w:val="002060"/>
              <w:sz w:val="52"/>
              <w:szCs w:val="52"/>
            </w:rPr>
            <w:t>Poděbrady</w:t>
          </w:r>
        </w:p>
      </w:tc>
      <w:sdt>
        <w:sdtPr>
          <w:alias w:val="Klikněte na ikonu a nahraďte obrázek"/>
          <w:tag w:val="Klikněte na ikonu a nahraďte obrázek"/>
          <w:id w:val="-423115271"/>
          <w:picture/>
        </w:sdtPr>
        <w:sdtContent>
          <w:tc>
            <w:tcPr>
              <w:tcW w:w="2500" w:type="pct"/>
              <w:vAlign w:val="bottom"/>
            </w:tcPr>
            <w:p w14:paraId="7973F4EB" w14:textId="77777777" w:rsidR="00B01BD6" w:rsidRDefault="00C44D14">
              <w:pPr>
                <w:pStyle w:val="zhlav"/>
              </w:pPr>
              <w:r>
                <w:rPr>
                  <w:noProof/>
                </w:rPr>
                <w:drawing>
                  <wp:inline distT="0" distB="0" distL="0" distR="0" wp14:anchorId="5E33D95C" wp14:editId="7E7606EF">
                    <wp:extent cx="895350" cy="885825"/>
                    <wp:effectExtent l="0" t="0" r="0" b="9525"/>
                    <wp:docPr id="943784377" name="Grafický 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784377" name="Grafický objekt 943784377"/>
                            <pic:cNvPicPr/>
                          </pic:nvPicPr>
                          <pic:blipFill>
                            <a:blip r:embed="rId1">
                              <a:extLst>
                                <a:ext uri="{96DAC541-7B7A-43D3-8B79-37D633B846F1}">
                                  <asvg:svgBlip xmlns:asvg="http://schemas.microsoft.com/office/drawing/2016/SVG/main" r:embed="rId2"/>
                                </a:ext>
                              </a:extLst>
                            </a:blip>
                            <a:stretch>
                              <a:fillRect/>
                            </a:stretch>
                          </pic:blipFill>
                          <pic:spPr>
                            <a:xfrm>
                              <a:off x="0" y="0"/>
                              <a:ext cx="895350" cy="885825"/>
                            </a:xfrm>
                            <a:prstGeom prst="rect">
                              <a:avLst/>
                            </a:prstGeom>
                          </pic:spPr>
                        </pic:pic>
                      </a:graphicData>
                    </a:graphic>
                  </wp:inline>
                </w:drawing>
              </w:r>
            </w:p>
          </w:tc>
        </w:sdtContent>
      </w:sdt>
    </w:tr>
  </w:tbl>
  <w:p w14:paraId="279AA12B" w14:textId="77777777" w:rsidR="00B01BD6" w:rsidRDefault="00B01BD6">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0D7779"/>
    <w:multiLevelType w:val="hybridMultilevel"/>
    <w:tmpl w:val="53F8C410"/>
    <w:lvl w:ilvl="0" w:tplc="FFFFFFFF">
      <w:start w:val="1"/>
      <w:numFmt w:val="upperRoman"/>
      <w:lvlText w:val="%1."/>
      <w:lvlJc w:val="right"/>
      <w:pPr>
        <w:ind w:left="760" w:hanging="360"/>
      </w:pPr>
      <w:rPr>
        <w:rFonts w:hint="default"/>
      </w:rPr>
    </w:lvl>
    <w:lvl w:ilvl="1" w:tplc="04050019">
      <w:start w:val="1"/>
      <w:numFmt w:val="lowerLetter"/>
      <w:lvlText w:val="%2."/>
      <w:lvlJc w:val="left"/>
      <w:pPr>
        <w:ind w:left="1480" w:hanging="360"/>
      </w:pPr>
    </w:lvl>
    <w:lvl w:ilvl="2" w:tplc="0405001B" w:tentative="1">
      <w:start w:val="1"/>
      <w:numFmt w:val="lowerRoman"/>
      <w:lvlText w:val="%3."/>
      <w:lvlJc w:val="right"/>
      <w:pPr>
        <w:ind w:left="2200" w:hanging="180"/>
      </w:pPr>
    </w:lvl>
    <w:lvl w:ilvl="3" w:tplc="0405000F" w:tentative="1">
      <w:start w:val="1"/>
      <w:numFmt w:val="decimal"/>
      <w:lvlText w:val="%4."/>
      <w:lvlJc w:val="left"/>
      <w:pPr>
        <w:ind w:left="2920" w:hanging="360"/>
      </w:pPr>
    </w:lvl>
    <w:lvl w:ilvl="4" w:tplc="04050019" w:tentative="1">
      <w:start w:val="1"/>
      <w:numFmt w:val="lowerLetter"/>
      <w:lvlText w:val="%5."/>
      <w:lvlJc w:val="left"/>
      <w:pPr>
        <w:ind w:left="3640" w:hanging="360"/>
      </w:pPr>
    </w:lvl>
    <w:lvl w:ilvl="5" w:tplc="0405001B" w:tentative="1">
      <w:start w:val="1"/>
      <w:numFmt w:val="lowerRoman"/>
      <w:lvlText w:val="%6."/>
      <w:lvlJc w:val="right"/>
      <w:pPr>
        <w:ind w:left="4360" w:hanging="180"/>
      </w:pPr>
    </w:lvl>
    <w:lvl w:ilvl="6" w:tplc="0405000F" w:tentative="1">
      <w:start w:val="1"/>
      <w:numFmt w:val="decimal"/>
      <w:lvlText w:val="%7."/>
      <w:lvlJc w:val="left"/>
      <w:pPr>
        <w:ind w:left="5080" w:hanging="360"/>
      </w:pPr>
    </w:lvl>
    <w:lvl w:ilvl="7" w:tplc="04050019" w:tentative="1">
      <w:start w:val="1"/>
      <w:numFmt w:val="lowerLetter"/>
      <w:lvlText w:val="%8."/>
      <w:lvlJc w:val="left"/>
      <w:pPr>
        <w:ind w:left="5800" w:hanging="360"/>
      </w:pPr>
    </w:lvl>
    <w:lvl w:ilvl="8" w:tplc="0405001B" w:tentative="1">
      <w:start w:val="1"/>
      <w:numFmt w:val="lowerRoman"/>
      <w:lvlText w:val="%9."/>
      <w:lvlJc w:val="right"/>
      <w:pPr>
        <w:ind w:left="6520" w:hanging="180"/>
      </w:pPr>
    </w:lvl>
  </w:abstractNum>
  <w:abstractNum w:abstractNumId="1" w15:restartNumberingAfterBreak="0">
    <w:nsid w:val="16C54A2A"/>
    <w:multiLevelType w:val="hybridMultilevel"/>
    <w:tmpl w:val="D176193C"/>
    <w:lvl w:ilvl="0" w:tplc="04050013">
      <w:start w:val="1"/>
      <w:numFmt w:val="upperRoman"/>
      <w:lvlText w:val="%1."/>
      <w:lvlJc w:val="righ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AD2149A"/>
    <w:multiLevelType w:val="hybridMultilevel"/>
    <w:tmpl w:val="3D36B504"/>
    <w:lvl w:ilvl="0" w:tplc="FFFFFFFF">
      <w:start w:val="1"/>
      <w:numFmt w:val="upperRoman"/>
      <w:lvlText w:val="%1."/>
      <w:lvlJc w:val="right"/>
      <w:pPr>
        <w:ind w:left="810" w:hanging="360"/>
      </w:pPr>
      <w:rPr>
        <w:rFonts w:hint="default"/>
      </w:rPr>
    </w:lvl>
    <w:lvl w:ilvl="1" w:tplc="04050019" w:tentative="1">
      <w:start w:val="1"/>
      <w:numFmt w:val="lowerLetter"/>
      <w:lvlText w:val="%2."/>
      <w:lvlJc w:val="left"/>
      <w:pPr>
        <w:ind w:left="1530" w:hanging="360"/>
      </w:pPr>
    </w:lvl>
    <w:lvl w:ilvl="2" w:tplc="0405001B" w:tentative="1">
      <w:start w:val="1"/>
      <w:numFmt w:val="lowerRoman"/>
      <w:lvlText w:val="%3."/>
      <w:lvlJc w:val="right"/>
      <w:pPr>
        <w:ind w:left="2250" w:hanging="180"/>
      </w:pPr>
    </w:lvl>
    <w:lvl w:ilvl="3" w:tplc="0405000F" w:tentative="1">
      <w:start w:val="1"/>
      <w:numFmt w:val="decimal"/>
      <w:lvlText w:val="%4."/>
      <w:lvlJc w:val="left"/>
      <w:pPr>
        <w:ind w:left="2970" w:hanging="360"/>
      </w:pPr>
    </w:lvl>
    <w:lvl w:ilvl="4" w:tplc="04050019" w:tentative="1">
      <w:start w:val="1"/>
      <w:numFmt w:val="lowerLetter"/>
      <w:lvlText w:val="%5."/>
      <w:lvlJc w:val="left"/>
      <w:pPr>
        <w:ind w:left="3690" w:hanging="360"/>
      </w:pPr>
    </w:lvl>
    <w:lvl w:ilvl="5" w:tplc="0405001B" w:tentative="1">
      <w:start w:val="1"/>
      <w:numFmt w:val="lowerRoman"/>
      <w:lvlText w:val="%6."/>
      <w:lvlJc w:val="right"/>
      <w:pPr>
        <w:ind w:left="4410" w:hanging="180"/>
      </w:pPr>
    </w:lvl>
    <w:lvl w:ilvl="6" w:tplc="0405000F" w:tentative="1">
      <w:start w:val="1"/>
      <w:numFmt w:val="decimal"/>
      <w:lvlText w:val="%7."/>
      <w:lvlJc w:val="left"/>
      <w:pPr>
        <w:ind w:left="5130" w:hanging="360"/>
      </w:pPr>
    </w:lvl>
    <w:lvl w:ilvl="7" w:tplc="04050019" w:tentative="1">
      <w:start w:val="1"/>
      <w:numFmt w:val="lowerLetter"/>
      <w:lvlText w:val="%8."/>
      <w:lvlJc w:val="left"/>
      <w:pPr>
        <w:ind w:left="5850" w:hanging="360"/>
      </w:pPr>
    </w:lvl>
    <w:lvl w:ilvl="8" w:tplc="0405001B" w:tentative="1">
      <w:start w:val="1"/>
      <w:numFmt w:val="lowerRoman"/>
      <w:lvlText w:val="%9."/>
      <w:lvlJc w:val="right"/>
      <w:pPr>
        <w:ind w:left="6570" w:hanging="180"/>
      </w:pPr>
    </w:lvl>
  </w:abstractNum>
  <w:abstractNum w:abstractNumId="3" w15:restartNumberingAfterBreak="0">
    <w:nsid w:val="1C203AF3"/>
    <w:multiLevelType w:val="hybridMultilevel"/>
    <w:tmpl w:val="976A2CB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3A5337BD"/>
    <w:multiLevelType w:val="hybridMultilevel"/>
    <w:tmpl w:val="C2943E4E"/>
    <w:lvl w:ilvl="0" w:tplc="AFC21FB4">
      <w:numFmt w:val="bullet"/>
      <w:lvlText w:val="•"/>
      <w:lvlJc w:val="left"/>
      <w:pPr>
        <w:ind w:left="720" w:hanging="720"/>
      </w:pPr>
      <w:rPr>
        <w:rFonts w:ascii="Cambria" w:eastAsiaTheme="minorHAnsi" w:hAnsi="Cambria" w:cstheme="minorBidi"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5" w15:restartNumberingAfterBreak="0">
    <w:nsid w:val="48E94719"/>
    <w:multiLevelType w:val="hybridMultilevel"/>
    <w:tmpl w:val="8738101A"/>
    <w:lvl w:ilvl="0" w:tplc="04050013">
      <w:start w:val="1"/>
      <w:numFmt w:val="upperRoman"/>
      <w:lvlText w:val="%1."/>
      <w:lvlJc w:val="righ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548D7B1D"/>
    <w:multiLevelType w:val="hybridMultilevel"/>
    <w:tmpl w:val="D176193C"/>
    <w:lvl w:ilvl="0" w:tplc="FFFFFFFF">
      <w:start w:val="1"/>
      <w:numFmt w:val="upperRoman"/>
      <w:lvlText w:val="%1."/>
      <w:lvlJc w:val="righ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92F6D43"/>
    <w:multiLevelType w:val="hybridMultilevel"/>
    <w:tmpl w:val="1E064646"/>
    <w:lvl w:ilvl="0" w:tplc="04050013">
      <w:start w:val="1"/>
      <w:numFmt w:val="upperRoman"/>
      <w:lvlText w:val="%1."/>
      <w:lvlJc w:val="righ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72B139A8"/>
    <w:multiLevelType w:val="hybridMultilevel"/>
    <w:tmpl w:val="D176193C"/>
    <w:lvl w:ilvl="0" w:tplc="FFFFFFFF">
      <w:start w:val="1"/>
      <w:numFmt w:val="upperRoman"/>
      <w:lvlText w:val="%1."/>
      <w:lvlJc w:val="righ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53816160">
    <w:abstractNumId w:val="5"/>
  </w:num>
  <w:num w:numId="2" w16cid:durableId="525799186">
    <w:abstractNumId w:val="7"/>
  </w:num>
  <w:num w:numId="3" w16cid:durableId="362436857">
    <w:abstractNumId w:val="1"/>
  </w:num>
  <w:num w:numId="4" w16cid:durableId="2001346157">
    <w:abstractNumId w:val="8"/>
  </w:num>
  <w:num w:numId="5" w16cid:durableId="1628119939">
    <w:abstractNumId w:val="0"/>
  </w:num>
  <w:num w:numId="6" w16cid:durableId="1322541534">
    <w:abstractNumId w:val="2"/>
  </w:num>
  <w:num w:numId="7" w16cid:durableId="912852986">
    <w:abstractNumId w:val="3"/>
  </w:num>
  <w:num w:numId="8" w16cid:durableId="646009052">
    <w:abstractNumId w:val="4"/>
  </w:num>
  <w:num w:numId="9" w16cid:durableId="144234086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D14"/>
    <w:rsid w:val="00014DD5"/>
    <w:rsid w:val="000201B6"/>
    <w:rsid w:val="00026E94"/>
    <w:rsid w:val="00042BCB"/>
    <w:rsid w:val="00053077"/>
    <w:rsid w:val="0006620A"/>
    <w:rsid w:val="000709E5"/>
    <w:rsid w:val="000760C1"/>
    <w:rsid w:val="00077672"/>
    <w:rsid w:val="000912A2"/>
    <w:rsid w:val="00093963"/>
    <w:rsid w:val="000A12F2"/>
    <w:rsid w:val="000A5132"/>
    <w:rsid w:val="000A61A2"/>
    <w:rsid w:val="000A6706"/>
    <w:rsid w:val="000A7AB0"/>
    <w:rsid w:val="000B41A9"/>
    <w:rsid w:val="000B5B36"/>
    <w:rsid w:val="000E3E33"/>
    <w:rsid w:val="000F0749"/>
    <w:rsid w:val="000F2EC4"/>
    <w:rsid w:val="001129D2"/>
    <w:rsid w:val="001273F8"/>
    <w:rsid w:val="00131C89"/>
    <w:rsid w:val="00134449"/>
    <w:rsid w:val="00141ADA"/>
    <w:rsid w:val="00153C72"/>
    <w:rsid w:val="0016738E"/>
    <w:rsid w:val="001764D0"/>
    <w:rsid w:val="00181695"/>
    <w:rsid w:val="001A79F5"/>
    <w:rsid w:val="001C1121"/>
    <w:rsid w:val="001C28D2"/>
    <w:rsid w:val="001C7DB5"/>
    <w:rsid w:val="001D79E2"/>
    <w:rsid w:val="001E1DF8"/>
    <w:rsid w:val="001E5401"/>
    <w:rsid w:val="001F3EBE"/>
    <w:rsid w:val="001F4551"/>
    <w:rsid w:val="00206197"/>
    <w:rsid w:val="00206AAD"/>
    <w:rsid w:val="002203F3"/>
    <w:rsid w:val="00226C69"/>
    <w:rsid w:val="00227E0D"/>
    <w:rsid w:val="00230F5E"/>
    <w:rsid w:val="00235D0D"/>
    <w:rsid w:val="00241982"/>
    <w:rsid w:val="00247E94"/>
    <w:rsid w:val="00251CEA"/>
    <w:rsid w:val="00271A99"/>
    <w:rsid w:val="00276DF0"/>
    <w:rsid w:val="0029737A"/>
    <w:rsid w:val="002A65D8"/>
    <w:rsid w:val="002C435A"/>
    <w:rsid w:val="002C5956"/>
    <w:rsid w:val="002D455F"/>
    <w:rsid w:val="002E04E0"/>
    <w:rsid w:val="002F1628"/>
    <w:rsid w:val="002F225B"/>
    <w:rsid w:val="003075B0"/>
    <w:rsid w:val="003144D3"/>
    <w:rsid w:val="00323C0A"/>
    <w:rsid w:val="003305D7"/>
    <w:rsid w:val="00334B59"/>
    <w:rsid w:val="00335754"/>
    <w:rsid w:val="00337F64"/>
    <w:rsid w:val="00343A43"/>
    <w:rsid w:val="00345265"/>
    <w:rsid w:val="00350FD1"/>
    <w:rsid w:val="003620DD"/>
    <w:rsid w:val="00374C88"/>
    <w:rsid w:val="00390AA6"/>
    <w:rsid w:val="00392D84"/>
    <w:rsid w:val="003A6CC3"/>
    <w:rsid w:val="003B3B45"/>
    <w:rsid w:val="003C57AA"/>
    <w:rsid w:val="003E28FB"/>
    <w:rsid w:val="003E7438"/>
    <w:rsid w:val="003F5D08"/>
    <w:rsid w:val="003F5FB8"/>
    <w:rsid w:val="00400770"/>
    <w:rsid w:val="004030BC"/>
    <w:rsid w:val="00414733"/>
    <w:rsid w:val="00421AA3"/>
    <w:rsid w:val="00424828"/>
    <w:rsid w:val="0043421D"/>
    <w:rsid w:val="00484A2A"/>
    <w:rsid w:val="00486873"/>
    <w:rsid w:val="00487EE7"/>
    <w:rsid w:val="00497C95"/>
    <w:rsid w:val="004B779A"/>
    <w:rsid w:val="004D5C37"/>
    <w:rsid w:val="004D78E0"/>
    <w:rsid w:val="004E5B42"/>
    <w:rsid w:val="00500E9B"/>
    <w:rsid w:val="00507460"/>
    <w:rsid w:val="005134F0"/>
    <w:rsid w:val="00514EDF"/>
    <w:rsid w:val="00520BB7"/>
    <w:rsid w:val="00535951"/>
    <w:rsid w:val="0056539D"/>
    <w:rsid w:val="00570777"/>
    <w:rsid w:val="00571021"/>
    <w:rsid w:val="00571A60"/>
    <w:rsid w:val="00572956"/>
    <w:rsid w:val="005735EB"/>
    <w:rsid w:val="00582BE5"/>
    <w:rsid w:val="00596334"/>
    <w:rsid w:val="005A5CFD"/>
    <w:rsid w:val="005D5DBF"/>
    <w:rsid w:val="005F20A2"/>
    <w:rsid w:val="005F7FCF"/>
    <w:rsid w:val="00600EA0"/>
    <w:rsid w:val="00605F80"/>
    <w:rsid w:val="00620F73"/>
    <w:rsid w:val="006333BB"/>
    <w:rsid w:val="00636C0F"/>
    <w:rsid w:val="00636E92"/>
    <w:rsid w:val="0064443A"/>
    <w:rsid w:val="00654C19"/>
    <w:rsid w:val="00664BCF"/>
    <w:rsid w:val="00665D1A"/>
    <w:rsid w:val="006754B9"/>
    <w:rsid w:val="0067583D"/>
    <w:rsid w:val="00676A39"/>
    <w:rsid w:val="0068289F"/>
    <w:rsid w:val="00683238"/>
    <w:rsid w:val="006836BD"/>
    <w:rsid w:val="0068715D"/>
    <w:rsid w:val="0069298C"/>
    <w:rsid w:val="006B3848"/>
    <w:rsid w:val="006B72AC"/>
    <w:rsid w:val="006B78CD"/>
    <w:rsid w:val="006C05E6"/>
    <w:rsid w:val="006C54FC"/>
    <w:rsid w:val="006E4B4E"/>
    <w:rsid w:val="006F3F6C"/>
    <w:rsid w:val="007166CD"/>
    <w:rsid w:val="00720DB6"/>
    <w:rsid w:val="0072227A"/>
    <w:rsid w:val="00730B79"/>
    <w:rsid w:val="0075222F"/>
    <w:rsid w:val="00754F3D"/>
    <w:rsid w:val="007558DA"/>
    <w:rsid w:val="007629B5"/>
    <w:rsid w:val="007633DE"/>
    <w:rsid w:val="007666C1"/>
    <w:rsid w:val="00770342"/>
    <w:rsid w:val="00784C20"/>
    <w:rsid w:val="00791C77"/>
    <w:rsid w:val="0079761F"/>
    <w:rsid w:val="007A2F6B"/>
    <w:rsid w:val="007A34AB"/>
    <w:rsid w:val="007A7CB5"/>
    <w:rsid w:val="007B1FEF"/>
    <w:rsid w:val="007B55B3"/>
    <w:rsid w:val="007C13F4"/>
    <w:rsid w:val="007C7D97"/>
    <w:rsid w:val="007D4475"/>
    <w:rsid w:val="007E4A8E"/>
    <w:rsid w:val="007F289A"/>
    <w:rsid w:val="007F3C9E"/>
    <w:rsid w:val="007F5A19"/>
    <w:rsid w:val="0082079B"/>
    <w:rsid w:val="00823D17"/>
    <w:rsid w:val="008514E8"/>
    <w:rsid w:val="008524C2"/>
    <w:rsid w:val="00856080"/>
    <w:rsid w:val="0085743D"/>
    <w:rsid w:val="008645C9"/>
    <w:rsid w:val="0087157E"/>
    <w:rsid w:val="00871D7D"/>
    <w:rsid w:val="0087292A"/>
    <w:rsid w:val="00872994"/>
    <w:rsid w:val="00877759"/>
    <w:rsid w:val="00883237"/>
    <w:rsid w:val="008D2AB4"/>
    <w:rsid w:val="008D33FE"/>
    <w:rsid w:val="008F687C"/>
    <w:rsid w:val="00903E64"/>
    <w:rsid w:val="00915E84"/>
    <w:rsid w:val="00931B72"/>
    <w:rsid w:val="0093452E"/>
    <w:rsid w:val="00950B3D"/>
    <w:rsid w:val="00951B90"/>
    <w:rsid w:val="00952A04"/>
    <w:rsid w:val="009544C3"/>
    <w:rsid w:val="00965EA7"/>
    <w:rsid w:val="00972EFB"/>
    <w:rsid w:val="00984187"/>
    <w:rsid w:val="00984EB8"/>
    <w:rsid w:val="009937C1"/>
    <w:rsid w:val="00994C73"/>
    <w:rsid w:val="009950A7"/>
    <w:rsid w:val="009968C4"/>
    <w:rsid w:val="009971D1"/>
    <w:rsid w:val="009971E4"/>
    <w:rsid w:val="00997C24"/>
    <w:rsid w:val="009B30E1"/>
    <w:rsid w:val="009C177B"/>
    <w:rsid w:val="009C71F8"/>
    <w:rsid w:val="009E2E16"/>
    <w:rsid w:val="009F4668"/>
    <w:rsid w:val="009F4F42"/>
    <w:rsid w:val="00A04695"/>
    <w:rsid w:val="00A121D4"/>
    <w:rsid w:val="00A14493"/>
    <w:rsid w:val="00A145E1"/>
    <w:rsid w:val="00A223DF"/>
    <w:rsid w:val="00A3127A"/>
    <w:rsid w:val="00A442C0"/>
    <w:rsid w:val="00A46AA1"/>
    <w:rsid w:val="00A60BE1"/>
    <w:rsid w:val="00A733E0"/>
    <w:rsid w:val="00A73432"/>
    <w:rsid w:val="00A76025"/>
    <w:rsid w:val="00A96BF5"/>
    <w:rsid w:val="00AA7389"/>
    <w:rsid w:val="00AB4F73"/>
    <w:rsid w:val="00AB61F1"/>
    <w:rsid w:val="00AB7D4A"/>
    <w:rsid w:val="00AD46DF"/>
    <w:rsid w:val="00AE0A9C"/>
    <w:rsid w:val="00AF31AA"/>
    <w:rsid w:val="00AF6AFF"/>
    <w:rsid w:val="00B01BD6"/>
    <w:rsid w:val="00B0298C"/>
    <w:rsid w:val="00B12B9F"/>
    <w:rsid w:val="00B16B36"/>
    <w:rsid w:val="00B242E1"/>
    <w:rsid w:val="00B41C6E"/>
    <w:rsid w:val="00B4433A"/>
    <w:rsid w:val="00B478FE"/>
    <w:rsid w:val="00B52EF3"/>
    <w:rsid w:val="00B612CD"/>
    <w:rsid w:val="00B63795"/>
    <w:rsid w:val="00B74FA6"/>
    <w:rsid w:val="00B7639D"/>
    <w:rsid w:val="00B77DC2"/>
    <w:rsid w:val="00B92D82"/>
    <w:rsid w:val="00BC0451"/>
    <w:rsid w:val="00BC5E34"/>
    <w:rsid w:val="00BC6ADD"/>
    <w:rsid w:val="00BD56F3"/>
    <w:rsid w:val="00BD745C"/>
    <w:rsid w:val="00BF26C4"/>
    <w:rsid w:val="00BF53E6"/>
    <w:rsid w:val="00C00AAE"/>
    <w:rsid w:val="00C1585F"/>
    <w:rsid w:val="00C16B8E"/>
    <w:rsid w:val="00C17893"/>
    <w:rsid w:val="00C3153F"/>
    <w:rsid w:val="00C43D1E"/>
    <w:rsid w:val="00C44D14"/>
    <w:rsid w:val="00C55AC0"/>
    <w:rsid w:val="00C56005"/>
    <w:rsid w:val="00C60621"/>
    <w:rsid w:val="00C64334"/>
    <w:rsid w:val="00C66BAE"/>
    <w:rsid w:val="00C91662"/>
    <w:rsid w:val="00CA0584"/>
    <w:rsid w:val="00CB1995"/>
    <w:rsid w:val="00CB4471"/>
    <w:rsid w:val="00CC13CA"/>
    <w:rsid w:val="00CC2ACC"/>
    <w:rsid w:val="00CC3AF9"/>
    <w:rsid w:val="00CD2905"/>
    <w:rsid w:val="00CD6BC0"/>
    <w:rsid w:val="00CE6550"/>
    <w:rsid w:val="00CF092A"/>
    <w:rsid w:val="00D06B0A"/>
    <w:rsid w:val="00D1509D"/>
    <w:rsid w:val="00D200AA"/>
    <w:rsid w:val="00D345D6"/>
    <w:rsid w:val="00D4598C"/>
    <w:rsid w:val="00D45A16"/>
    <w:rsid w:val="00D4608B"/>
    <w:rsid w:val="00D70AE4"/>
    <w:rsid w:val="00D7208E"/>
    <w:rsid w:val="00D76AD8"/>
    <w:rsid w:val="00D82254"/>
    <w:rsid w:val="00D91F87"/>
    <w:rsid w:val="00DC4F1F"/>
    <w:rsid w:val="00DC70AA"/>
    <w:rsid w:val="00DD03A4"/>
    <w:rsid w:val="00DD737F"/>
    <w:rsid w:val="00DE6BA8"/>
    <w:rsid w:val="00DE7B83"/>
    <w:rsid w:val="00DF147A"/>
    <w:rsid w:val="00DF60D9"/>
    <w:rsid w:val="00DF6301"/>
    <w:rsid w:val="00E0388C"/>
    <w:rsid w:val="00E12FE2"/>
    <w:rsid w:val="00E1336F"/>
    <w:rsid w:val="00E15C52"/>
    <w:rsid w:val="00E21EFB"/>
    <w:rsid w:val="00E21F6E"/>
    <w:rsid w:val="00E30D8E"/>
    <w:rsid w:val="00E42035"/>
    <w:rsid w:val="00E543C8"/>
    <w:rsid w:val="00E5647C"/>
    <w:rsid w:val="00E67B52"/>
    <w:rsid w:val="00E924C2"/>
    <w:rsid w:val="00E92BB8"/>
    <w:rsid w:val="00ED1211"/>
    <w:rsid w:val="00EE500A"/>
    <w:rsid w:val="00EF37F6"/>
    <w:rsid w:val="00F026C2"/>
    <w:rsid w:val="00F121DF"/>
    <w:rsid w:val="00F15495"/>
    <w:rsid w:val="00F1623F"/>
    <w:rsid w:val="00F22521"/>
    <w:rsid w:val="00F24686"/>
    <w:rsid w:val="00F27343"/>
    <w:rsid w:val="00F27F32"/>
    <w:rsid w:val="00F33F40"/>
    <w:rsid w:val="00F44459"/>
    <w:rsid w:val="00F47D34"/>
    <w:rsid w:val="00F518A1"/>
    <w:rsid w:val="00F61C07"/>
    <w:rsid w:val="00F67F44"/>
    <w:rsid w:val="00F86D58"/>
    <w:rsid w:val="00FA3164"/>
    <w:rsid w:val="00FA61B2"/>
    <w:rsid w:val="00FB531C"/>
    <w:rsid w:val="00FD21B9"/>
    <w:rsid w:val="00FD656F"/>
    <w:rsid w:val="00FE0E20"/>
    <w:rsid w:val="00FF2084"/>
    <w:rsid w:val="00FF24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71DD5E"/>
  <w15:chartTrackingRefBased/>
  <w15:docId w15:val="{DD6084E6-11C5-43E0-A539-9960ACD0D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color w:val="595959" w:themeColor="text1" w:themeTint="A6"/>
        <w:lang w:val="cs-CZ" w:eastAsia="cs-CZ" w:bidi="ar-SA"/>
      </w:rPr>
    </w:rPrDefault>
    <w:pPrDefault>
      <w:pPr>
        <w:spacing w:before="40" w:after="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kern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1">
    <w:name w:val="nadpis 1"/>
    <w:basedOn w:val="Normln"/>
    <w:next w:val="Normln"/>
    <w:link w:val="Znaknadpisu1"/>
    <w:uiPriority w:val="9"/>
    <w:qFormat/>
    <w:pPr>
      <w:keepNext/>
      <w:keepLines/>
      <w:pBdr>
        <w:top w:val="single" w:sz="4" w:space="4" w:color="7E97AD" w:themeColor="accent1"/>
        <w:left w:val="single" w:sz="4" w:space="6" w:color="7E97AD" w:themeColor="accent1"/>
        <w:bottom w:val="single" w:sz="4" w:space="4" w:color="7E97AD" w:themeColor="accent1"/>
        <w:right w:val="single" w:sz="4" w:space="6" w:color="7E97AD" w:themeColor="accent1"/>
      </w:pBdr>
      <w:shd w:val="clear" w:color="auto" w:fill="7E97AD" w:themeFill="accent1"/>
      <w:spacing w:before="360" w:after="240"/>
      <w:ind w:left="144" w:right="144"/>
      <w:outlineLvl w:val="0"/>
    </w:pPr>
    <w:rPr>
      <w:rFonts w:asciiTheme="majorHAnsi" w:eastAsiaTheme="majorEastAsia" w:hAnsiTheme="majorHAnsi" w:cstheme="majorBidi"/>
      <w:caps/>
      <w:color w:val="FFFFFF" w:themeColor="background1"/>
      <w:sz w:val="22"/>
      <w:szCs w:val="22"/>
    </w:rPr>
  </w:style>
  <w:style w:type="paragraph" w:customStyle="1" w:styleId="zhlav">
    <w:name w:val="záhlaví"/>
    <w:basedOn w:val="Normln"/>
    <w:link w:val="Znakzhlav"/>
    <w:uiPriority w:val="99"/>
    <w:unhideWhenUsed/>
    <w:pPr>
      <w:tabs>
        <w:tab w:val="center" w:pos="4680"/>
        <w:tab w:val="right" w:pos="9360"/>
      </w:tabs>
      <w:spacing w:before="0" w:after="0"/>
      <w:jc w:val="right"/>
    </w:pPr>
  </w:style>
  <w:style w:type="character" w:customStyle="1" w:styleId="Znakzhlav">
    <w:name w:val="Znak záhlaví"/>
    <w:basedOn w:val="Standardnpsmoodstavce"/>
    <w:link w:val="zhlav"/>
    <w:uiPriority w:val="99"/>
    <w:rPr>
      <w:kern w:val="20"/>
    </w:rPr>
  </w:style>
  <w:style w:type="paragraph" w:customStyle="1" w:styleId="zpat">
    <w:name w:val="zápatí"/>
    <w:basedOn w:val="Normln"/>
    <w:link w:val="Znakzpat"/>
    <w:uiPriority w:val="99"/>
    <w:unhideWhenUsed/>
    <w:pPr>
      <w:pBdr>
        <w:top w:val="single" w:sz="4" w:space="6" w:color="B1C0CD" w:themeColor="accent1" w:themeTint="99"/>
        <w:left w:val="single" w:sz="2" w:space="4" w:color="FFFFFF" w:themeColor="background1"/>
      </w:pBdr>
      <w:spacing w:after="0"/>
      <w:ind w:right="101"/>
    </w:pPr>
  </w:style>
  <w:style w:type="character" w:customStyle="1" w:styleId="Znakzpat">
    <w:name w:val="Znak zápatí"/>
    <w:basedOn w:val="Standardnpsmoodstavce"/>
    <w:link w:val="zpat"/>
    <w:uiPriority w:val="99"/>
    <w:rPr>
      <w:kern w:val="20"/>
    </w:rPr>
  </w:style>
  <w:style w:type="paragraph" w:styleId="Bezmezer">
    <w:name w:val="No Spacing"/>
    <w:link w:val="BezmezerChar"/>
    <w:uiPriority w:val="1"/>
    <w:qFormat/>
    <w:pPr>
      <w:spacing w:before="0" w:after="0"/>
    </w:pPr>
  </w:style>
  <w:style w:type="character" w:styleId="Siln">
    <w:name w:val="Strong"/>
    <w:basedOn w:val="Standardnpsmoodstavce"/>
    <w:uiPriority w:val="1"/>
    <w:unhideWhenUsed/>
    <w:qFormat/>
    <w:rPr>
      <w:b/>
      <w:bCs/>
    </w:rPr>
  </w:style>
  <w:style w:type="character" w:customStyle="1" w:styleId="BezmezerChar">
    <w:name w:val="Bez mezer Char"/>
    <w:basedOn w:val="Standardnpsmoodstavce"/>
    <w:link w:val="Bezmezer"/>
    <w:uiPriority w:val="1"/>
  </w:style>
  <w:style w:type="table" w:styleId="Mkatabulky">
    <w:name w:val="Table Grid"/>
    <w:basedOn w:val="Normlntabulka"/>
    <w:uiPriority w:val="59"/>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ev">
    <w:name w:val="Title"/>
    <w:basedOn w:val="Normln"/>
    <w:next w:val="Normln"/>
    <w:link w:val="NzevChar"/>
    <w:uiPriority w:val="10"/>
    <w:qFormat/>
    <w:pPr>
      <w:spacing w:before="480" w:after="160"/>
    </w:pPr>
    <w:rPr>
      <w:rFonts w:asciiTheme="majorHAnsi" w:eastAsiaTheme="majorEastAsia" w:hAnsiTheme="majorHAnsi" w:cstheme="majorBidi"/>
      <w:caps/>
      <w:color w:val="7E97AD" w:themeColor="accent1"/>
      <w:kern w:val="28"/>
      <w:sz w:val="48"/>
      <w:szCs w:val="48"/>
    </w:rPr>
  </w:style>
  <w:style w:type="character" w:customStyle="1" w:styleId="NzevChar">
    <w:name w:val="Název Char"/>
    <w:basedOn w:val="Standardnpsmoodstavce"/>
    <w:link w:val="Nzev"/>
    <w:uiPriority w:val="10"/>
    <w:rPr>
      <w:rFonts w:asciiTheme="majorHAnsi" w:eastAsiaTheme="majorEastAsia" w:hAnsiTheme="majorHAnsi" w:cstheme="majorBidi"/>
      <w:caps/>
      <w:color w:val="7E97AD" w:themeColor="accent1"/>
      <w:kern w:val="28"/>
      <w:sz w:val="48"/>
      <w:szCs w:val="48"/>
    </w:rPr>
  </w:style>
  <w:style w:type="character" w:styleId="Zstupntext">
    <w:name w:val="Placeholder Text"/>
    <w:basedOn w:val="Standardnpsmoodstavce"/>
    <w:uiPriority w:val="99"/>
    <w:semiHidden/>
    <w:rPr>
      <w:color w:val="808080"/>
    </w:rPr>
  </w:style>
  <w:style w:type="paragraph" w:styleId="Zvr">
    <w:name w:val="Closing"/>
    <w:basedOn w:val="Normln"/>
    <w:link w:val="ZvrChar"/>
    <w:uiPriority w:val="99"/>
    <w:unhideWhenUsed/>
    <w:pPr>
      <w:spacing w:before="600" w:after="80"/>
    </w:pPr>
  </w:style>
  <w:style w:type="character" w:customStyle="1" w:styleId="ZvrChar">
    <w:name w:val="Závěr Char"/>
    <w:basedOn w:val="Standardnpsmoodstavce"/>
    <w:link w:val="Zvr"/>
    <w:uiPriority w:val="99"/>
    <w:rPr>
      <w:kern w:val="20"/>
    </w:rPr>
  </w:style>
  <w:style w:type="table" w:customStyle="1" w:styleId="Tabulkazprvyostavu">
    <w:name w:val="Tabulka zprávy o stavu"/>
    <w:basedOn w:val="Normlntabulka"/>
    <w:uiPriority w:val="99"/>
    <w:tblPr>
      <w:tblBorders>
        <w:insideH w:val="single" w:sz="4" w:space="0" w:color="BFBFBF" w:themeColor="background1" w:themeShade="BF"/>
      </w:tblBorders>
    </w:tblPr>
    <w:tblStylePr w:type="firstRow">
      <w:rPr>
        <w:rFonts w:asciiTheme="majorHAnsi" w:hAnsiTheme="majorHAnsi"/>
        <w:caps/>
        <w:smallCaps w:val="0"/>
        <w:color w:val="577188" w:themeColor="accent1" w:themeShade="BF"/>
      </w:rPr>
      <w:tblPr/>
      <w:tcPr>
        <w:vAlign w:val="bottom"/>
      </w:tcPr>
    </w:tblStylePr>
  </w:style>
  <w:style w:type="character" w:customStyle="1" w:styleId="Znaknadpisu1">
    <w:name w:val="Znak nadpisu 1"/>
    <w:basedOn w:val="Standardnpsmoodstavce"/>
    <w:link w:val="nadpis1"/>
    <w:uiPriority w:val="9"/>
    <w:rPr>
      <w:rFonts w:asciiTheme="majorHAnsi" w:eastAsiaTheme="majorEastAsia" w:hAnsiTheme="majorHAnsi" w:cstheme="majorBidi"/>
      <w:caps/>
      <w:color w:val="FFFFFF" w:themeColor="background1"/>
      <w:kern w:val="20"/>
      <w:sz w:val="22"/>
      <w:szCs w:val="22"/>
      <w:shd w:val="clear" w:color="auto" w:fill="7E97AD" w:themeFill="accent1"/>
    </w:rPr>
  </w:style>
  <w:style w:type="paragraph" w:styleId="Zhlav0">
    <w:name w:val="header"/>
    <w:basedOn w:val="Normln"/>
    <w:link w:val="ZhlavChar"/>
    <w:uiPriority w:val="99"/>
    <w:unhideWhenUsed/>
    <w:rsid w:val="00931B72"/>
    <w:pPr>
      <w:tabs>
        <w:tab w:val="center" w:pos="4536"/>
        <w:tab w:val="right" w:pos="9072"/>
      </w:tabs>
      <w:spacing w:before="0" w:after="0"/>
    </w:pPr>
  </w:style>
  <w:style w:type="character" w:customStyle="1" w:styleId="ZhlavChar">
    <w:name w:val="Záhlaví Char"/>
    <w:basedOn w:val="Standardnpsmoodstavce"/>
    <w:link w:val="Zhlav0"/>
    <w:uiPriority w:val="99"/>
    <w:rsid w:val="00931B72"/>
    <w:rPr>
      <w:kern w:val="20"/>
    </w:rPr>
  </w:style>
  <w:style w:type="paragraph" w:styleId="Zpat0">
    <w:name w:val="footer"/>
    <w:basedOn w:val="Normln"/>
    <w:link w:val="ZpatChar"/>
    <w:uiPriority w:val="99"/>
    <w:unhideWhenUsed/>
    <w:rsid w:val="00931B72"/>
    <w:pPr>
      <w:tabs>
        <w:tab w:val="center" w:pos="4536"/>
        <w:tab w:val="right" w:pos="9072"/>
      </w:tabs>
      <w:spacing w:before="0" w:after="0"/>
    </w:pPr>
  </w:style>
  <w:style w:type="character" w:customStyle="1" w:styleId="ZpatChar">
    <w:name w:val="Zápatí Char"/>
    <w:basedOn w:val="Standardnpsmoodstavce"/>
    <w:link w:val="Zpat0"/>
    <w:uiPriority w:val="99"/>
    <w:rsid w:val="00931B72"/>
    <w:rPr>
      <w:kern w:val="20"/>
    </w:rPr>
  </w:style>
  <w:style w:type="paragraph" w:styleId="Odstavecseseznamem">
    <w:name w:val="List Paragraph"/>
    <w:basedOn w:val="Normln"/>
    <w:uiPriority w:val="34"/>
    <w:qFormat/>
    <w:rsid w:val="005735EB"/>
    <w:pPr>
      <w:ind w:left="720"/>
      <w:contextualSpacing/>
    </w:pPr>
  </w:style>
  <w:style w:type="paragraph" w:styleId="Revize">
    <w:name w:val="Revision"/>
    <w:hidden/>
    <w:uiPriority w:val="99"/>
    <w:semiHidden/>
    <w:rsid w:val="00872994"/>
    <w:pPr>
      <w:spacing w:before="0" w:after="0"/>
    </w:pPr>
    <w:rPr>
      <w:kern w:val="20"/>
    </w:rPr>
  </w:style>
  <w:style w:type="character" w:styleId="Odkaznakoment">
    <w:name w:val="annotation reference"/>
    <w:basedOn w:val="Standardnpsmoodstavce"/>
    <w:uiPriority w:val="99"/>
    <w:semiHidden/>
    <w:unhideWhenUsed/>
    <w:rsid w:val="00BF26C4"/>
    <w:rPr>
      <w:sz w:val="16"/>
      <w:szCs w:val="16"/>
    </w:rPr>
  </w:style>
  <w:style w:type="paragraph" w:styleId="Textkomente">
    <w:name w:val="annotation text"/>
    <w:basedOn w:val="Normln"/>
    <w:link w:val="TextkomenteChar"/>
    <w:uiPriority w:val="99"/>
    <w:unhideWhenUsed/>
    <w:rsid w:val="00BF26C4"/>
  </w:style>
  <w:style w:type="character" w:customStyle="1" w:styleId="TextkomenteChar">
    <w:name w:val="Text komentáře Char"/>
    <w:basedOn w:val="Standardnpsmoodstavce"/>
    <w:link w:val="Textkomente"/>
    <w:uiPriority w:val="99"/>
    <w:rsid w:val="00BF26C4"/>
    <w:rPr>
      <w:kern w:val="20"/>
    </w:rPr>
  </w:style>
  <w:style w:type="paragraph" w:styleId="Pedmtkomente">
    <w:name w:val="annotation subject"/>
    <w:basedOn w:val="Textkomente"/>
    <w:next w:val="Textkomente"/>
    <w:link w:val="PedmtkomenteChar"/>
    <w:uiPriority w:val="99"/>
    <w:semiHidden/>
    <w:unhideWhenUsed/>
    <w:rsid w:val="00BF26C4"/>
    <w:rPr>
      <w:b/>
      <w:bCs/>
    </w:rPr>
  </w:style>
  <w:style w:type="character" w:customStyle="1" w:styleId="PedmtkomenteChar">
    <w:name w:val="Předmět komentáře Char"/>
    <w:basedOn w:val="TextkomenteChar"/>
    <w:link w:val="Pedmtkomente"/>
    <w:uiPriority w:val="99"/>
    <w:semiHidden/>
    <w:rsid w:val="00BF26C4"/>
    <w:rPr>
      <w:b/>
      <w:bCs/>
      <w:kern w:val="20"/>
    </w:rPr>
  </w:style>
  <w:style w:type="character" w:styleId="Hypertextovodkaz">
    <w:name w:val="Hyperlink"/>
    <w:basedOn w:val="Standardnpsmoodstavce"/>
    <w:uiPriority w:val="99"/>
    <w:unhideWhenUsed/>
    <w:rsid w:val="00D4598C"/>
    <w:rPr>
      <w:color w:val="646464" w:themeColor="hyperlink"/>
      <w:u w:val="single"/>
    </w:rPr>
  </w:style>
  <w:style w:type="character" w:customStyle="1" w:styleId="Nevyeenzmnka1">
    <w:name w:val="Nevyřešená zmínka1"/>
    <w:basedOn w:val="Standardnpsmoodstavce"/>
    <w:uiPriority w:val="99"/>
    <w:semiHidden/>
    <w:unhideWhenUsed/>
    <w:rsid w:val="00D4598C"/>
    <w:rPr>
      <w:color w:val="605E5C"/>
      <w:shd w:val="clear" w:color="auto" w:fill="E1DFDD"/>
    </w:rPr>
  </w:style>
  <w:style w:type="paragraph" w:styleId="Textbubliny">
    <w:name w:val="Balloon Text"/>
    <w:basedOn w:val="Normln"/>
    <w:link w:val="TextbublinyChar"/>
    <w:uiPriority w:val="99"/>
    <w:semiHidden/>
    <w:unhideWhenUsed/>
    <w:rsid w:val="00500E9B"/>
    <w:pPr>
      <w:spacing w:before="0" w:after="0"/>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500E9B"/>
    <w:rPr>
      <w:rFonts w:ascii="Segoe UI" w:hAnsi="Segoe UI" w:cs="Segoe UI"/>
      <w:kern w:val="2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7052882">
      <w:bodyDiv w:val="1"/>
      <w:marLeft w:val="0"/>
      <w:marRight w:val="0"/>
      <w:marTop w:val="0"/>
      <w:marBottom w:val="0"/>
      <w:divBdr>
        <w:top w:val="none" w:sz="0" w:space="0" w:color="auto"/>
        <w:left w:val="none" w:sz="0" w:space="0" w:color="auto"/>
        <w:bottom w:val="none" w:sz="0" w:space="0" w:color="auto"/>
        <w:right w:val="none" w:sz="0" w:space="0" w:color="auto"/>
      </w:divBdr>
    </w:div>
    <w:div w:id="1765296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cha\AppData\Roaming\Microsoft\Templates\Zpr&#225;va%20o%20stavu%20projektu.dotx" TargetMode="External"/></Relationships>
</file>

<file path=word/theme/theme1.xml><?xml version="1.0" encoding="utf-8"?>
<a:theme xmlns:a="http://schemas.openxmlformats.org/drawingml/2006/main" name="Business Set Blue">
  <a:themeElements>
    <a:clrScheme name="word_design_set">
      <a:dk1>
        <a:srgbClr val="000000"/>
      </a:dk1>
      <a:lt1>
        <a:srgbClr val="FFFFFF"/>
      </a:lt1>
      <a:dk2>
        <a:srgbClr val="1F2123"/>
      </a:dk2>
      <a:lt2>
        <a:srgbClr val="DC9E1F"/>
      </a:lt2>
      <a:accent1>
        <a:srgbClr val="7E97AD"/>
      </a:accent1>
      <a:accent2>
        <a:srgbClr val="CC8E60"/>
      </a:accent2>
      <a:accent3>
        <a:srgbClr val="7A6A60"/>
      </a:accent3>
      <a:accent4>
        <a:srgbClr val="B4936D"/>
      </a:accent4>
      <a:accent5>
        <a:srgbClr val="67787B"/>
      </a:accent5>
      <a:accent6>
        <a:srgbClr val="9D936F"/>
      </a:accent6>
      <a:hlink>
        <a:srgbClr val="646464"/>
      </a:hlink>
      <a:folHlink>
        <a:srgbClr val="969696"/>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2.xml><?xml version="1.0" encoding="utf-8"?>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APDescription xmlns="4eb71313-1cf6-4961-b6ce-0c29fc5284b9">Use this pre-formatted project status report template to keep your key stakeholders updated on progress. This template matches others in the Timeless design set, but can easily be personalized by using built-in themes and styles.
</APDescription>
    <AssetExpire xmlns="4eb71313-1cf6-4961-b6ce-0c29fc5284b9">2029-01-01T08:00:00+00:00</AssetExpire>
    <CampaignTagsTaxHTField0 xmlns="4eb71313-1cf6-4961-b6ce-0c29fc5284b9">
      <Terms xmlns="http://schemas.microsoft.com/office/infopath/2007/PartnerControls"/>
    </CampaignTagsTaxHTField0>
    <IntlLangReviewDate xmlns="4eb71313-1cf6-4961-b6ce-0c29fc5284b9" xsi:nil="true"/>
    <TPFriendlyName xmlns="4eb71313-1cf6-4961-b6ce-0c29fc5284b9" xsi:nil="true"/>
    <IntlLangReview xmlns="4eb71313-1cf6-4961-b6ce-0c29fc5284b9">false</IntlLangReview>
    <LocLastLocAttemptVersionLookup xmlns="4eb71313-1cf6-4961-b6ce-0c29fc5284b9">834450</LocLastLocAttemptVersionLookup>
    <PolicheckWords xmlns="4eb71313-1cf6-4961-b6ce-0c29fc5284b9" xsi:nil="true"/>
    <SubmitterId xmlns="4eb71313-1cf6-4961-b6ce-0c29fc5284b9" xsi:nil="true"/>
    <AcquiredFrom xmlns="4eb71313-1cf6-4961-b6ce-0c29fc5284b9">Internal MS</AcquiredFrom>
    <EditorialStatus xmlns="4eb71313-1cf6-4961-b6ce-0c29fc5284b9">Complete</EditorialStatus>
    <Markets xmlns="4eb71313-1cf6-4961-b6ce-0c29fc5284b9"/>
    <OriginAsset xmlns="4eb71313-1cf6-4961-b6ce-0c29fc5284b9" xsi:nil="true"/>
    <AssetStart xmlns="4eb71313-1cf6-4961-b6ce-0c29fc5284b9">2012-04-27T16:36:00+00:00</AssetStart>
    <FriendlyTitle xmlns="4eb71313-1cf6-4961-b6ce-0c29fc5284b9" xsi:nil="true"/>
    <MarketSpecific xmlns="4eb71313-1cf6-4961-b6ce-0c29fc5284b9">false</MarketSpecific>
    <TPNamespace xmlns="4eb71313-1cf6-4961-b6ce-0c29fc5284b9" xsi:nil="true"/>
    <PublishStatusLookup xmlns="4eb71313-1cf6-4961-b6ce-0c29fc5284b9">
      <Value>343928</Value>
    </PublishStatusLookup>
    <APAuthor xmlns="4eb71313-1cf6-4961-b6ce-0c29fc5284b9">
      <UserInfo>
        <DisplayName>REDMOND\v-vaddu</DisplayName>
        <AccountId>2567</AccountId>
        <AccountType/>
      </UserInfo>
    </APAuthor>
    <TPCommandLine xmlns="4eb71313-1cf6-4961-b6ce-0c29fc5284b9" xsi:nil="true"/>
    <IntlLangReviewer xmlns="4eb71313-1cf6-4961-b6ce-0c29fc5284b9" xsi:nil="true"/>
    <OpenTemplate xmlns="4eb71313-1cf6-4961-b6ce-0c29fc5284b9">true</OpenTemplate>
    <CSXSubmissionDate xmlns="4eb71313-1cf6-4961-b6ce-0c29fc5284b9" xsi:nil="true"/>
    <TaxCatchAll xmlns="4eb71313-1cf6-4961-b6ce-0c29fc5284b9"/>
    <Manager xmlns="4eb71313-1cf6-4961-b6ce-0c29fc5284b9" xsi:nil="true"/>
    <NumericId xmlns="4eb71313-1cf6-4961-b6ce-0c29fc5284b9" xsi:nil="true"/>
    <ParentAssetId xmlns="4eb71313-1cf6-4961-b6ce-0c29fc5284b9" xsi:nil="true"/>
    <OriginalSourceMarket xmlns="4eb71313-1cf6-4961-b6ce-0c29fc5284b9">english</OriginalSourceMarket>
    <ApprovalStatus xmlns="4eb71313-1cf6-4961-b6ce-0c29fc5284b9">InProgress</ApprovalStatus>
    <TPComponent xmlns="4eb71313-1cf6-4961-b6ce-0c29fc5284b9" xsi:nil="true"/>
    <EditorialTags xmlns="4eb71313-1cf6-4961-b6ce-0c29fc5284b9" xsi:nil="true"/>
    <TPExecutable xmlns="4eb71313-1cf6-4961-b6ce-0c29fc5284b9" xsi:nil="true"/>
    <TPLaunchHelpLink xmlns="4eb71313-1cf6-4961-b6ce-0c29fc5284b9" xsi:nil="true"/>
    <LocComments xmlns="4eb71313-1cf6-4961-b6ce-0c29fc5284b9" xsi:nil="true"/>
    <LocRecommendedHandoff xmlns="4eb71313-1cf6-4961-b6ce-0c29fc5284b9" xsi:nil="true"/>
    <SourceTitle xmlns="4eb71313-1cf6-4961-b6ce-0c29fc5284b9" xsi:nil="true"/>
    <CSXUpdate xmlns="4eb71313-1cf6-4961-b6ce-0c29fc5284b9">false</CSXUpdate>
    <IntlLocPriority xmlns="4eb71313-1cf6-4961-b6ce-0c29fc5284b9" xsi:nil="true"/>
    <UAProjectedTotalWords xmlns="4eb71313-1cf6-4961-b6ce-0c29fc5284b9" xsi:nil="true"/>
    <AssetType xmlns="4eb71313-1cf6-4961-b6ce-0c29fc5284b9">TP</AssetType>
    <MachineTranslated xmlns="4eb71313-1cf6-4961-b6ce-0c29fc5284b9">false</MachineTranslated>
    <OutputCachingOn xmlns="4eb71313-1cf6-4961-b6ce-0c29fc5284b9">false</OutputCachingOn>
    <TemplateStatus xmlns="4eb71313-1cf6-4961-b6ce-0c29fc5284b9">Complete</TemplateStatus>
    <IsSearchable xmlns="4eb71313-1cf6-4961-b6ce-0c29fc5284b9">true</IsSearchable>
    <ContentItem xmlns="4eb71313-1cf6-4961-b6ce-0c29fc5284b9" xsi:nil="true"/>
    <HandoffToMSDN xmlns="4eb71313-1cf6-4961-b6ce-0c29fc5284b9" xsi:nil="true"/>
    <ShowIn xmlns="4eb71313-1cf6-4961-b6ce-0c29fc5284b9">Show everywhere</ShowIn>
    <ThumbnailAssetId xmlns="4eb71313-1cf6-4961-b6ce-0c29fc5284b9" xsi:nil="true"/>
    <UALocComments xmlns="4eb71313-1cf6-4961-b6ce-0c29fc5284b9" xsi:nil="true"/>
    <UALocRecommendation xmlns="4eb71313-1cf6-4961-b6ce-0c29fc5284b9">Localize</UALocRecommendation>
    <LastModifiedDateTime xmlns="4eb71313-1cf6-4961-b6ce-0c29fc5284b9" xsi:nil="true"/>
    <LegacyData xmlns="4eb71313-1cf6-4961-b6ce-0c29fc5284b9" xsi:nil="true"/>
    <LocManualTestRequired xmlns="4eb71313-1cf6-4961-b6ce-0c29fc5284b9">false</LocManualTestRequired>
    <ClipArtFilename xmlns="4eb71313-1cf6-4961-b6ce-0c29fc5284b9" xsi:nil="true"/>
    <TPApplication xmlns="4eb71313-1cf6-4961-b6ce-0c29fc5284b9" xsi:nil="true"/>
    <CSXHash xmlns="4eb71313-1cf6-4961-b6ce-0c29fc5284b9" xsi:nil="true"/>
    <DirectSourceMarket xmlns="4eb71313-1cf6-4961-b6ce-0c29fc5284b9">english</DirectSourceMarket>
    <PrimaryImageGen xmlns="4eb71313-1cf6-4961-b6ce-0c29fc5284b9">true</PrimaryImageGen>
    <PlannedPubDate xmlns="4eb71313-1cf6-4961-b6ce-0c29fc5284b9" xsi:nil="true"/>
    <CSXSubmissionMarket xmlns="4eb71313-1cf6-4961-b6ce-0c29fc5284b9" xsi:nil="true"/>
    <Downloads xmlns="4eb71313-1cf6-4961-b6ce-0c29fc5284b9">0</Downloads>
    <ArtSampleDocs xmlns="4eb71313-1cf6-4961-b6ce-0c29fc5284b9" xsi:nil="true"/>
    <TrustLevel xmlns="4eb71313-1cf6-4961-b6ce-0c29fc5284b9">1 Microsoft Managed Content</TrustLevel>
    <BlockPublish xmlns="4eb71313-1cf6-4961-b6ce-0c29fc5284b9">false</BlockPublish>
    <TPLaunchHelpLinkType xmlns="4eb71313-1cf6-4961-b6ce-0c29fc5284b9">Template</TPLaunchHelpLinkType>
    <LocalizationTagsTaxHTField0 xmlns="4eb71313-1cf6-4961-b6ce-0c29fc5284b9">
      <Terms xmlns="http://schemas.microsoft.com/office/infopath/2007/PartnerControls"/>
    </LocalizationTagsTaxHTField0>
    <BusinessGroup xmlns="4eb71313-1cf6-4961-b6ce-0c29fc5284b9" xsi:nil="true"/>
    <Providers xmlns="4eb71313-1cf6-4961-b6ce-0c29fc5284b9" xsi:nil="true"/>
    <TemplateTemplateType xmlns="4eb71313-1cf6-4961-b6ce-0c29fc5284b9">Word Document Template</TemplateTemplateType>
    <TimesCloned xmlns="4eb71313-1cf6-4961-b6ce-0c29fc5284b9" xsi:nil="true"/>
    <TPAppVersion xmlns="4eb71313-1cf6-4961-b6ce-0c29fc5284b9" xsi:nil="true"/>
    <VoteCount xmlns="4eb71313-1cf6-4961-b6ce-0c29fc5284b9" xsi:nil="true"/>
    <FeatureTagsTaxHTField0 xmlns="4eb71313-1cf6-4961-b6ce-0c29fc5284b9">
      <Terms xmlns="http://schemas.microsoft.com/office/infopath/2007/PartnerControls"/>
    </FeatureTagsTaxHTField0>
    <Provider xmlns="4eb71313-1cf6-4961-b6ce-0c29fc5284b9" xsi:nil="true"/>
    <UACurrentWords xmlns="4eb71313-1cf6-4961-b6ce-0c29fc5284b9" xsi:nil="true"/>
    <AssetId xmlns="4eb71313-1cf6-4961-b6ce-0c29fc5284b9">TP102889878</AssetId>
    <TPClientViewer xmlns="4eb71313-1cf6-4961-b6ce-0c29fc5284b9" xsi:nil="true"/>
    <DSATActionTaken xmlns="4eb71313-1cf6-4961-b6ce-0c29fc5284b9" xsi:nil="true"/>
    <APEditor xmlns="4eb71313-1cf6-4961-b6ce-0c29fc5284b9">
      <UserInfo>
        <DisplayName/>
        <AccountId xsi:nil="true"/>
        <AccountType/>
      </UserInfo>
    </APEditor>
    <TPInstallLocation xmlns="4eb71313-1cf6-4961-b6ce-0c29fc5284b9" xsi:nil="true"/>
    <OOCacheId xmlns="4eb71313-1cf6-4961-b6ce-0c29fc5284b9" xsi:nil="true"/>
    <IsDeleted xmlns="4eb71313-1cf6-4961-b6ce-0c29fc5284b9">false</IsDeleted>
    <PublishTargets xmlns="4eb71313-1cf6-4961-b6ce-0c29fc5284b9">OfficeOnlineVNext</PublishTargets>
    <ApprovalLog xmlns="4eb71313-1cf6-4961-b6ce-0c29fc5284b9" xsi:nil="true"/>
    <BugNumber xmlns="4eb71313-1cf6-4961-b6ce-0c29fc5284b9" xsi:nil="true"/>
    <CrawlForDependencies xmlns="4eb71313-1cf6-4961-b6ce-0c29fc5284b9">false</CrawlForDependencies>
    <InternalTagsTaxHTField0 xmlns="4eb71313-1cf6-4961-b6ce-0c29fc5284b9">
      <Terms xmlns="http://schemas.microsoft.com/office/infopath/2007/PartnerControls"/>
    </InternalTagsTaxHTField0>
    <LastHandOff xmlns="4eb71313-1cf6-4961-b6ce-0c29fc5284b9" xsi:nil="true"/>
    <Milestone xmlns="4eb71313-1cf6-4961-b6ce-0c29fc5284b9" xsi:nil="true"/>
    <OriginalRelease xmlns="4eb71313-1cf6-4961-b6ce-0c29fc5284b9">15</OriginalRelease>
    <RecommendationsModifier xmlns="4eb71313-1cf6-4961-b6ce-0c29fc5284b9" xsi:nil="true"/>
    <ScenarioTagsTaxHTField0 xmlns="4eb71313-1cf6-4961-b6ce-0c29fc5284b9">
      <Terms xmlns="http://schemas.microsoft.com/office/infopath/2007/PartnerControls"/>
    </ScenarioTagsTaxHTField0>
    <UANotes xmlns="4eb71313-1cf6-4961-b6ce-0c29fc5284b9" xsi:nil="true"/>
    <LocMarketGroupTiers2 xmlns="4eb71313-1cf6-4961-b6ce-0c29fc5284b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TemplateFile" ma:contentTypeID="0x010100AC6DD24B17643A43B5911557F59D23340400899CD97D2199F748BA22A48D93649A64" ma:contentTypeVersion="58" ma:contentTypeDescription="Create a new document." ma:contentTypeScope="" ma:versionID="cb85242d804791fa63a999220e43a0bf">
  <xsd:schema xmlns:xsd="http://www.w3.org/2001/XMLSchema" xmlns:xs="http://www.w3.org/2001/XMLSchema" xmlns:p="http://schemas.microsoft.com/office/2006/metadata/properties" xmlns:ns2="4eb71313-1cf6-4961-b6ce-0c29fc5284b9" targetNamespace="http://schemas.microsoft.com/office/2006/metadata/properties" ma:root="true" ma:fieldsID="2e13631c6b34a2889e7ce7c8f1efd12b" ns2:_="">
    <xsd:import namespace="4eb71313-1cf6-4961-b6ce-0c29fc5284b9"/>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b71313-1cf6-4961-b6ce-0c29fc5284b9"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c3f4d027-4fd8-4cc2-8b85-0841a4458da5}"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5CA8D83B-96EC-4276-857B-79C0D68D41F2}" ma:internalName="CSXSubmissionMarket" ma:readOnly="false" ma:showField="MarketName" ma:web="4eb71313-1cf6-4961-b6ce-0c29fc5284b9">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795c8547-23fd-40ca-83e8-685fb4656d05}"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3E8746B6-F860-4147-B98C-956DED1CEF1C}" ma:internalName="InProjectListLookup" ma:readOnly="true" ma:showField="InProjectList" ma:web="4eb71313-1cf6-4961-b6ce-0c29fc5284b9">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dd8e871c-dee9-4360-89a8-b52fc0509435}"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3E8746B6-F860-4147-B98C-956DED1CEF1C}" ma:internalName="LastCompleteVersionLookup" ma:readOnly="true" ma:showField="LastCompleteVersion" ma:web="4eb71313-1cf6-4961-b6ce-0c29fc5284b9">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3E8746B6-F860-4147-B98C-956DED1CEF1C}" ma:internalName="LastPreviewErrorLookup" ma:readOnly="true" ma:showField="LastPreviewError" ma:web="4eb71313-1cf6-4961-b6ce-0c29fc5284b9">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3E8746B6-F860-4147-B98C-956DED1CEF1C}" ma:internalName="LastPreviewResultLookup" ma:readOnly="true" ma:showField="LastPreviewResult" ma:web="4eb71313-1cf6-4961-b6ce-0c29fc5284b9">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3E8746B6-F860-4147-B98C-956DED1CEF1C}" ma:internalName="LastPreviewAttemptDateLookup" ma:readOnly="true" ma:showField="LastPreviewAttemptDate" ma:web="4eb71313-1cf6-4961-b6ce-0c29fc5284b9">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3E8746B6-F860-4147-B98C-956DED1CEF1C}" ma:internalName="LastPreviewedByLookup" ma:readOnly="true" ma:showField="LastPreviewedBy" ma:web="4eb71313-1cf6-4961-b6ce-0c29fc5284b9">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3E8746B6-F860-4147-B98C-956DED1CEF1C}" ma:internalName="LastPreviewTimeLookup" ma:readOnly="true" ma:showField="LastPreviewTime" ma:web="4eb71313-1cf6-4961-b6ce-0c29fc5284b9">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3E8746B6-F860-4147-B98C-956DED1CEF1C}" ma:internalName="LastPreviewVersionLookup" ma:readOnly="true" ma:showField="LastPreviewVersion" ma:web="4eb71313-1cf6-4961-b6ce-0c29fc5284b9">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3E8746B6-F860-4147-B98C-956DED1CEF1C}" ma:internalName="LastPublishErrorLookup" ma:readOnly="true" ma:showField="LastPublishError" ma:web="4eb71313-1cf6-4961-b6ce-0c29fc5284b9">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3E8746B6-F860-4147-B98C-956DED1CEF1C}" ma:internalName="LastPublishResultLookup" ma:readOnly="true" ma:showField="LastPublishResult" ma:web="4eb71313-1cf6-4961-b6ce-0c29fc5284b9">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3E8746B6-F860-4147-B98C-956DED1CEF1C}" ma:internalName="LastPublishAttemptDateLookup" ma:readOnly="true" ma:showField="LastPublishAttemptDate" ma:web="4eb71313-1cf6-4961-b6ce-0c29fc5284b9">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3E8746B6-F860-4147-B98C-956DED1CEF1C}" ma:internalName="LastPublishedByLookup" ma:readOnly="true" ma:showField="LastPublishedBy" ma:web="4eb71313-1cf6-4961-b6ce-0c29fc5284b9">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3E8746B6-F860-4147-B98C-956DED1CEF1C}" ma:internalName="LastPublishTimeLookup" ma:readOnly="true" ma:showField="LastPublishTime" ma:web="4eb71313-1cf6-4961-b6ce-0c29fc5284b9">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3E8746B6-F860-4147-B98C-956DED1CEF1C}" ma:internalName="LastPublishVersionLookup" ma:readOnly="true" ma:showField="LastPublishVersion" ma:web="4eb71313-1cf6-4961-b6ce-0c29fc5284b9">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23C0E5B4-08EA-4DE1-951E-EEC9D1148E55}" ma:internalName="LocLastLocAttemptVersionLookup" ma:readOnly="false" ma:showField="LastLocAttemptVersion" ma:web="4eb71313-1cf6-4961-b6ce-0c29fc5284b9">
      <xsd:simpleType>
        <xsd:restriction base="dms:Lookup"/>
      </xsd:simpleType>
    </xsd:element>
    <xsd:element name="LocLastLocAttemptVersionTypeLookup" ma:index="71" nillable="true" ma:displayName="Loc Last Loc Attempt Version Type" ma:default="" ma:list="{23C0E5B4-08EA-4DE1-951E-EEC9D1148E55}" ma:internalName="LocLastLocAttemptVersionTypeLookup" ma:readOnly="true" ma:showField="LastLocAttemptVersionType" ma:web="4eb71313-1cf6-4961-b6ce-0c29fc5284b9">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23C0E5B4-08EA-4DE1-951E-EEC9D1148E55}" ma:internalName="LocNewPublishedVersionLookup" ma:readOnly="true" ma:showField="NewPublishedVersion" ma:web="4eb71313-1cf6-4961-b6ce-0c29fc5284b9">
      <xsd:simpleType>
        <xsd:restriction base="dms:Lookup"/>
      </xsd:simpleType>
    </xsd:element>
    <xsd:element name="LocOverallHandbackStatusLookup" ma:index="75" nillable="true" ma:displayName="Loc Overall Handback Status" ma:default="" ma:list="{23C0E5B4-08EA-4DE1-951E-EEC9D1148E55}" ma:internalName="LocOverallHandbackStatusLookup" ma:readOnly="true" ma:showField="OverallHandbackStatus" ma:web="4eb71313-1cf6-4961-b6ce-0c29fc5284b9">
      <xsd:simpleType>
        <xsd:restriction base="dms:Lookup"/>
      </xsd:simpleType>
    </xsd:element>
    <xsd:element name="LocOverallLocStatusLookup" ma:index="76" nillable="true" ma:displayName="Loc Overall Localize Status" ma:default="" ma:list="{23C0E5B4-08EA-4DE1-951E-EEC9D1148E55}" ma:internalName="LocOverallLocStatusLookup" ma:readOnly="true" ma:showField="OverallLocStatus" ma:web="4eb71313-1cf6-4961-b6ce-0c29fc5284b9">
      <xsd:simpleType>
        <xsd:restriction base="dms:Lookup"/>
      </xsd:simpleType>
    </xsd:element>
    <xsd:element name="LocOverallPreviewStatusLookup" ma:index="77" nillable="true" ma:displayName="Loc Overall Preview Status" ma:default="" ma:list="{23C0E5B4-08EA-4DE1-951E-EEC9D1148E55}" ma:internalName="LocOverallPreviewStatusLookup" ma:readOnly="true" ma:showField="OverallPreviewStatus" ma:web="4eb71313-1cf6-4961-b6ce-0c29fc5284b9">
      <xsd:simpleType>
        <xsd:restriction base="dms:Lookup"/>
      </xsd:simpleType>
    </xsd:element>
    <xsd:element name="LocOverallPublishStatusLookup" ma:index="78" nillable="true" ma:displayName="Loc Overall Publish Status" ma:default="" ma:list="{23C0E5B4-08EA-4DE1-951E-EEC9D1148E55}" ma:internalName="LocOverallPublishStatusLookup" ma:readOnly="true" ma:showField="OverallPublishStatus" ma:web="4eb71313-1cf6-4961-b6ce-0c29fc5284b9">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23C0E5B4-08EA-4DE1-951E-EEC9D1148E55}" ma:internalName="LocProcessedForHandoffsLookup" ma:readOnly="true" ma:showField="ProcessedForHandoffs" ma:web="4eb71313-1cf6-4961-b6ce-0c29fc5284b9">
      <xsd:simpleType>
        <xsd:restriction base="dms:Lookup"/>
      </xsd:simpleType>
    </xsd:element>
    <xsd:element name="LocProcessedForMarketsLookup" ma:index="81" nillable="true" ma:displayName="Loc Processed For Markets" ma:default="" ma:list="{23C0E5B4-08EA-4DE1-951E-EEC9D1148E55}" ma:internalName="LocProcessedForMarketsLookup" ma:readOnly="true" ma:showField="ProcessedForMarkets" ma:web="4eb71313-1cf6-4961-b6ce-0c29fc5284b9">
      <xsd:simpleType>
        <xsd:restriction base="dms:Lookup"/>
      </xsd:simpleType>
    </xsd:element>
    <xsd:element name="LocPublishedDependentAssetsLookup" ma:index="82" nillable="true" ma:displayName="Loc Published Dependent Assets" ma:default="" ma:list="{23C0E5B4-08EA-4DE1-951E-EEC9D1148E55}" ma:internalName="LocPublishedDependentAssetsLookup" ma:readOnly="true" ma:showField="PublishedDependentAssets" ma:web="4eb71313-1cf6-4961-b6ce-0c29fc5284b9">
      <xsd:simpleType>
        <xsd:restriction base="dms:Lookup"/>
      </xsd:simpleType>
    </xsd:element>
    <xsd:element name="LocPublishedLinkedAssetsLookup" ma:index="83" nillable="true" ma:displayName="Loc Published Linked Assets" ma:default="" ma:list="{23C0E5B4-08EA-4DE1-951E-EEC9D1148E55}" ma:internalName="LocPublishedLinkedAssetsLookup" ma:readOnly="true" ma:showField="PublishedLinkedAssets" ma:web="4eb71313-1cf6-4961-b6ce-0c29fc5284b9">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64f61a5-8dda-4b60-92b7-5d2a1238c06b}"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5CA8D83B-96EC-4276-857B-79C0D68D41F2}" ma:internalName="Markets" ma:readOnly="false" ma:showField="MarketName" ma:web="4eb71313-1cf6-4961-b6ce-0c29fc5284b9">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3E8746B6-F860-4147-B98C-956DED1CEF1C}" ma:internalName="NumOfRatingsLookup" ma:readOnly="true" ma:showField="NumOfRatings" ma:web="4eb71313-1cf6-4961-b6ce-0c29fc5284b9">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3E8746B6-F860-4147-B98C-956DED1CEF1C}" ma:internalName="PublishStatusLookup" ma:readOnly="false" ma:showField="PublishStatus" ma:web="4eb71313-1cf6-4961-b6ce-0c29fc5284b9">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cb8549bf-ef8d-4a3b-b930-30a5e5f6ddcb}"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4e3c5e03-5af4-47a0-b7f8-ada82367dacf}" ma:internalName="TaxCatchAll" ma:showField="CatchAllData" ma:web="4eb71313-1cf6-4961-b6ce-0c29fc5284b9">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4e3c5e03-5af4-47a0-b7f8-ada82367dacf}" ma:internalName="TaxCatchAllLabel" ma:readOnly="true" ma:showField="CatchAllDataLabel" ma:web="4eb71313-1cf6-4961-b6ce-0c29fc5284b9">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E18979-C756-43FD-9D2A-15203E6A502A}">
  <ds:schemaRefs>
    <ds:schemaRef ds:uri="http://schemas.microsoft.com/pics"/>
  </ds:schemaRefs>
</ds:datastoreItem>
</file>

<file path=customXml/itemProps2.xml><?xml version="1.0" encoding="utf-8"?>
<ds:datastoreItem xmlns:ds="http://schemas.openxmlformats.org/officeDocument/2006/customXml" ds:itemID="{51FBD1A1-449C-4EBE-BCFF-5A2F45398A1C}">
  <ds:schemaRefs>
    <ds:schemaRef ds:uri="http://schemas.microsoft.com/sharepoint/v3/contenttype/forms"/>
  </ds:schemaRefs>
</ds:datastoreItem>
</file>

<file path=customXml/itemProps3.xml><?xml version="1.0" encoding="utf-8"?>
<ds:datastoreItem xmlns:ds="http://schemas.openxmlformats.org/officeDocument/2006/customXml" ds:itemID="{C95DEB36-74EC-4ACE-9EA3-F686406FFEFA}">
  <ds:schemaRefs>
    <ds:schemaRef ds:uri="http://schemas.openxmlformats.org/officeDocument/2006/bibliography"/>
  </ds:schemaRefs>
</ds:datastoreItem>
</file>

<file path=customXml/itemProps4.xml><?xml version="1.0" encoding="utf-8"?>
<ds:datastoreItem xmlns:ds="http://schemas.openxmlformats.org/officeDocument/2006/customXml" ds:itemID="{4B3642D1-7274-4FB5-B19D-29489B799433}">
  <ds:schemaRefs>
    <ds:schemaRef ds:uri="http://schemas.microsoft.com/office/2006/metadata/properties"/>
    <ds:schemaRef ds:uri="http://schemas.microsoft.com/office/infopath/2007/PartnerControls"/>
    <ds:schemaRef ds:uri="4eb71313-1cf6-4961-b6ce-0c29fc5284b9"/>
  </ds:schemaRefs>
</ds:datastoreItem>
</file>

<file path=customXml/itemProps5.xml><?xml version="1.0" encoding="utf-8"?>
<ds:datastoreItem xmlns:ds="http://schemas.openxmlformats.org/officeDocument/2006/customXml" ds:itemID="{BDA7FE6D-40E3-4905-B456-14B526B3AC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b71313-1cf6-4961-b6ce-0c29fc5284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Zpráva o stavu projektu</Template>
  <TotalTime>9</TotalTime>
  <Pages>4</Pages>
  <Words>1950</Words>
  <Characters>11511</Characters>
  <Application>Microsoft Office Word</Application>
  <DocSecurity>0</DocSecurity>
  <Lines>95</Lines>
  <Paragraphs>26</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Richard Masopust</dc:creator>
  <cp:lastModifiedBy>struhova</cp:lastModifiedBy>
  <cp:revision>3</cp:revision>
  <cp:lastPrinted>2024-08-14T17:31:00Z</cp:lastPrinted>
  <dcterms:created xsi:type="dcterms:W3CDTF">2024-11-14T20:01:00Z</dcterms:created>
  <dcterms:modified xsi:type="dcterms:W3CDTF">2024-12-09T10:58:00Z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TC027909449991</vt:lpwstr>
  </property>
  <property fmtid="{D5CDD505-2E9C-101B-9397-08002B2CF9AE}" pid="3" name="ContentTypeId">
    <vt:lpwstr>0x010100AC6DD24B17643A43B5911557F59D23340400899CD97D2199F748BA22A48D93649A64</vt:lpwstr>
  </property>
  <property fmtid="{D5CDD505-2E9C-101B-9397-08002B2CF9AE}" pid="4" name="InternalTags">
    <vt:lpwstr/>
  </property>
  <property fmtid="{D5CDD505-2E9C-101B-9397-08002B2CF9AE}" pid="5" name="FeatureTags">
    <vt:lpwstr/>
  </property>
  <property fmtid="{D5CDD505-2E9C-101B-9397-08002B2CF9AE}" pid="6" name="LocalizationTags">
    <vt:lpwstr/>
  </property>
  <property fmtid="{D5CDD505-2E9C-101B-9397-08002B2CF9AE}" pid="7" name="ScenarioTags">
    <vt:lpwstr/>
  </property>
  <property fmtid="{D5CDD505-2E9C-101B-9397-08002B2CF9AE}" pid="8" name="CampaignTags">
    <vt:lpwstr/>
  </property>
  <property fmtid="{D5CDD505-2E9C-101B-9397-08002B2CF9AE}" pid="9" name="HiddenCategoryTags">
    <vt:lpwstr/>
  </property>
  <property fmtid="{D5CDD505-2E9C-101B-9397-08002B2CF9AE}" pid="10" name="CategoryTags">
    <vt:lpwstr/>
  </property>
  <property fmtid="{D5CDD505-2E9C-101B-9397-08002B2CF9AE}" pid="11" name="CategoryTagsTaxHTField0">
    <vt:lpwstr/>
  </property>
  <property fmtid="{D5CDD505-2E9C-101B-9397-08002B2CF9AE}" pid="12" name="HiddenCategoryTagsTaxHTField0">
    <vt:lpwstr/>
  </property>
</Properties>
</file>